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keepNext w:val="true"/>
        <w:numPr>
          <w:ilvl w:val="0"/>
          <w:numId w:val="1"/>
        </w:numPr>
        <w:tabs>
          <w:tab w:val="left" w:pos="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СОБРАНИЕ ДЕПУТАТОВ</w:t>
      </w:r>
    </w:p>
    <w:p>
      <w:pPr>
        <w:keepNext w:val="true"/>
        <w:numPr>
          <w:ilvl w:val="0"/>
          <w:numId w:val="1"/>
        </w:numPr>
        <w:tabs>
          <w:tab w:val="left" w:pos="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ЗУЕВСКОГО СЕЛЬСОВЕТА</w:t>
      </w:r>
    </w:p>
    <w:p>
      <w:pPr>
        <w:keepNext w:val="true"/>
        <w:numPr>
          <w:ilvl w:val="0"/>
          <w:numId w:val="1"/>
        </w:numPr>
        <w:tabs>
          <w:tab w:val="left" w:pos="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СОЛНЦЕВСКОГО РАЙОНА КУРСКОЙ ОБЛАСТИ</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keepNext w:val="true"/>
        <w:numPr>
          <w:ilvl w:val="0"/>
          <w:numId w:val="3"/>
        </w:numPr>
        <w:tabs>
          <w:tab w:val="left" w:pos="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РЕШЕНИЕ</w:t>
      </w:r>
    </w:p>
    <w:p>
      <w:pPr>
        <w:keepNext w:val="true"/>
        <w:numPr>
          <w:ilvl w:val="0"/>
          <w:numId w:val="3"/>
        </w:numPr>
        <w:tabs>
          <w:tab w:val="left" w:pos="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От 19 февраля 2019  года № 10/2</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9360" w:leader="none"/>
        </w:tabs>
        <w:suppressAutoHyphens w:val="true"/>
        <w:spacing w:before="0" w:after="0" w:line="240"/>
        <w:ind w:right="-5"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 проведении публичных слушаний</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 утверждению годового отчета за 2018 год</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Собрание депутатов Зуевского  сельсовета Солнцевского района РЕШИЛО:</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Утвердить прилагаемый Временный порядок проведения публичных слушаний по утверждению годового отчета за 2018 год по Администрации Зуевского сельсовета.</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Обнародовать Временный порядок проведения публичных слушаний по утверждению годового отчета за 2018 год по Администрации Зуевского сельсовета,  на  8-и информационных стендах, расположенных:</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w:t>
      </w:r>
      <w:r>
        <w:rPr>
          <w:rFonts w:ascii="Times New Roman" w:hAnsi="Times New Roman" w:cs="Times New Roman" w:eastAsia="Times New Roman"/>
          <w:color w:val="auto"/>
          <w:spacing w:val="0"/>
          <w:position w:val="0"/>
          <w:sz w:val="28"/>
          <w:shd w:fill="auto" w:val="clear"/>
        </w:rPr>
        <w:t xml:space="preserve">й - здание администрации Зуевского сельсовета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Солнцевского района, д. с.Зуевка;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й - здание МУК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Зуевская сельская библиотека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Солнцевского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района , с.Зуевка;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й - здание магазина ПО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Солнцевское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с.Зуевка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Солнцевского района;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й - здание МУК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Выползовская  сельская библиотека</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Солнцевского района, с.Выползово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w:t>
      </w:r>
      <w:r>
        <w:rPr>
          <w:rFonts w:ascii="Times New Roman" w:hAnsi="Times New Roman" w:cs="Times New Roman" w:eastAsia="Times New Roman"/>
          <w:color w:val="auto"/>
          <w:spacing w:val="0"/>
          <w:position w:val="0"/>
          <w:sz w:val="28"/>
          <w:shd w:fill="auto" w:val="clear"/>
        </w:rPr>
        <w:t xml:space="preserve">й - здание магазина ПО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Солнцевское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с.Дежевка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Солнцевского района;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w:t>
      </w:r>
      <w:r>
        <w:rPr>
          <w:rFonts w:ascii="Times New Roman" w:hAnsi="Times New Roman" w:cs="Times New Roman" w:eastAsia="Times New Roman"/>
          <w:color w:val="auto"/>
          <w:spacing w:val="0"/>
          <w:position w:val="0"/>
          <w:sz w:val="28"/>
          <w:shd w:fill="auto" w:val="clear"/>
        </w:rPr>
        <w:t xml:space="preserve">й - здание МУК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Б.Княжевская сельская библиотека</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Солнцевского района, д.Княжаяе;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w:t>
      </w:r>
      <w:r>
        <w:rPr>
          <w:rFonts w:ascii="Times New Roman" w:hAnsi="Times New Roman" w:cs="Times New Roman" w:eastAsia="Times New Roman"/>
          <w:color w:val="auto"/>
          <w:spacing w:val="0"/>
          <w:position w:val="0"/>
          <w:sz w:val="28"/>
          <w:shd w:fill="auto" w:val="clear"/>
        </w:rPr>
        <w:t xml:space="preserve">й - здание магазина ПО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Солнцевское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 Выползово</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Солнцевского района;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w:t>
      </w:r>
      <w:r>
        <w:rPr>
          <w:rFonts w:ascii="Times New Roman" w:hAnsi="Times New Roman" w:cs="Times New Roman" w:eastAsia="Times New Roman"/>
          <w:color w:val="auto"/>
          <w:spacing w:val="0"/>
          <w:position w:val="0"/>
          <w:sz w:val="28"/>
          <w:shd w:fill="auto" w:val="clear"/>
        </w:rPr>
        <w:t xml:space="preserve">й - здание МУК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Гридасовская  сельская библиотека</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Солнцевского района, д.Гридасово ;</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Провести публичные слушания по утверждению годового отчета за 2018 год по Администрации Зуевского сельсовета, 12 марта  2019 года в 14 час. 00 мин. по адресу: Курская область, Солнцевский район, с. Зуевка, улица Центральная дом 4.</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Настоящее Решение обнародовать на указанных в п.2 информационных стендах.</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708" w:leader="none"/>
        </w:tabs>
        <w:suppressAutoHyphens w:val="true"/>
        <w:spacing w:before="0" w:after="0" w:line="240"/>
        <w:ind w:right="0" w:left="0" w:firstLine="56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Председатель Собрания депутатов </w:t>
      </w:r>
    </w:p>
    <w:p>
      <w:pPr>
        <w:tabs>
          <w:tab w:val="left" w:pos="708" w:leader="none"/>
        </w:tabs>
        <w:suppressAutoHyphens w:val="true"/>
        <w:spacing w:before="0" w:after="0" w:line="240"/>
        <w:ind w:right="0" w:left="0" w:firstLine="56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Зуевского сельсовета </w:t>
      </w:r>
    </w:p>
    <w:p>
      <w:pPr>
        <w:tabs>
          <w:tab w:val="left" w:pos="708" w:leader="none"/>
        </w:tabs>
        <w:suppressAutoHyphens w:val="true"/>
        <w:spacing w:before="0" w:after="0" w:line="240"/>
        <w:ind w:right="0" w:left="0" w:firstLine="56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Солнцевского района </w:t>
        <w:tab/>
        <w:tab/>
        <w:tab/>
        <w:tab/>
        <w:tab/>
        <w:t xml:space="preserve">            А.Д.Гридасов</w:t>
      </w:r>
    </w:p>
    <w:p>
      <w:pPr>
        <w:tabs>
          <w:tab w:val="left" w:pos="708" w:leader="none"/>
        </w:tabs>
        <w:suppressAutoHyphens w:val="true"/>
        <w:spacing w:before="0" w:after="0" w:line="240"/>
        <w:ind w:right="0" w:left="0" w:firstLine="567"/>
        <w:jc w:val="left"/>
        <w:rPr>
          <w:rFonts w:ascii="Times New Roman" w:hAnsi="Times New Roman" w:cs="Times New Roman" w:eastAsia="Times New Roman"/>
          <w:color w:val="auto"/>
          <w:spacing w:val="0"/>
          <w:position w:val="0"/>
          <w:sz w:val="28"/>
          <w:shd w:fill="auto" w:val="clear"/>
        </w:rPr>
      </w:pPr>
    </w:p>
    <w:p>
      <w:pPr>
        <w:tabs>
          <w:tab w:val="left" w:pos="708" w:leader="none"/>
        </w:tabs>
        <w:suppressAutoHyphens w:val="true"/>
        <w:spacing w:before="0" w:after="0" w:line="240"/>
        <w:ind w:right="0" w:left="0" w:firstLine="56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Глава  Зуевского сельсовета</w:t>
      </w:r>
    </w:p>
    <w:p>
      <w:pPr>
        <w:tabs>
          <w:tab w:val="left" w:pos="708" w:leader="none"/>
        </w:tabs>
        <w:suppressAutoHyphens w:val="true"/>
        <w:spacing w:before="0" w:after="0" w:line="240"/>
        <w:ind w:right="0" w:left="0" w:firstLine="56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Солнцевского района</w:t>
        <w:tab/>
        <w:tab/>
        <w:t xml:space="preserve"> </w:t>
        <w:tab/>
        <w:tab/>
        <w:tab/>
        <w:t xml:space="preserve">  А.И.Панин</w:t>
      </w:r>
    </w:p>
    <w:p>
      <w:pPr>
        <w:suppressAutoHyphens w:val="true"/>
        <w:spacing w:before="0" w:after="200" w:line="360"/>
        <w:ind w:right="0" w:left="0" w:firstLine="0"/>
        <w:jc w:val="center"/>
        <w:rPr>
          <w:rFonts w:ascii="Calibri" w:hAnsi="Calibri" w:cs="Calibri" w:eastAsia="Calibri"/>
          <w:color w:val="auto"/>
          <w:spacing w:val="0"/>
          <w:position w:val="0"/>
          <w:sz w:val="22"/>
          <w:shd w:fill="auto" w:val="clear"/>
        </w:rPr>
      </w:pPr>
    </w:p>
    <w:p>
      <w:pPr>
        <w:suppressAutoHyphens w:val="true"/>
        <w:spacing w:before="0" w:after="200" w:line="360"/>
        <w:ind w:right="0" w:left="0" w:firstLine="0"/>
        <w:jc w:val="center"/>
        <w:rPr>
          <w:rFonts w:ascii="Calibri" w:hAnsi="Calibri" w:cs="Calibri" w:eastAsia="Calibri"/>
          <w:color w:val="auto"/>
          <w:spacing w:val="0"/>
          <w:position w:val="0"/>
          <w:sz w:val="22"/>
          <w:shd w:fill="auto" w:val="clear"/>
        </w:rPr>
      </w:pPr>
    </w:p>
    <w:p>
      <w:pPr>
        <w:suppressAutoHyphens w:val="true"/>
        <w:spacing w:before="0" w:after="200" w:line="360"/>
        <w:ind w:right="0" w:left="0" w:firstLine="0"/>
        <w:jc w:val="center"/>
        <w:rPr>
          <w:rFonts w:ascii="Calibri" w:hAnsi="Calibri" w:cs="Calibri" w:eastAsia="Calibri"/>
          <w:color w:val="auto"/>
          <w:spacing w:val="0"/>
          <w:position w:val="0"/>
          <w:sz w:val="22"/>
          <w:shd w:fill="auto" w:val="clear"/>
        </w:rPr>
      </w:pPr>
    </w:p>
    <w:p>
      <w:pPr>
        <w:suppressAutoHyphens w:val="true"/>
        <w:spacing w:before="0" w:after="200" w:line="360"/>
        <w:ind w:right="0" w:left="0" w:firstLine="0"/>
        <w:jc w:val="center"/>
        <w:rPr>
          <w:rFonts w:ascii="Calibri" w:hAnsi="Calibri" w:cs="Calibri" w:eastAsia="Calibri"/>
          <w:color w:val="auto"/>
          <w:spacing w:val="0"/>
          <w:position w:val="0"/>
          <w:sz w:val="22"/>
          <w:shd w:fill="auto" w:val="clear"/>
        </w:rPr>
      </w:pPr>
    </w:p>
    <w:p>
      <w:pPr>
        <w:suppressAutoHyphens w:val="true"/>
        <w:spacing w:before="0" w:after="200" w:line="360"/>
        <w:ind w:right="0" w:left="0" w:firstLine="0"/>
        <w:jc w:val="center"/>
        <w:rPr>
          <w:rFonts w:ascii="Calibri" w:hAnsi="Calibri" w:cs="Calibri" w:eastAsia="Calibri"/>
          <w:color w:val="auto"/>
          <w:spacing w:val="0"/>
          <w:position w:val="0"/>
          <w:sz w:val="22"/>
          <w:shd w:fill="auto" w:val="clear"/>
        </w:rPr>
      </w:pPr>
    </w:p>
    <w:p>
      <w:pPr>
        <w:suppressAutoHyphens w:val="true"/>
        <w:spacing w:before="0" w:after="200" w:line="360"/>
        <w:ind w:right="0" w:left="0" w:firstLine="0"/>
        <w:jc w:val="center"/>
        <w:rPr>
          <w:rFonts w:ascii="Calibri" w:hAnsi="Calibri" w:cs="Calibri" w:eastAsia="Calibri"/>
          <w:color w:val="auto"/>
          <w:spacing w:val="0"/>
          <w:position w:val="0"/>
          <w:sz w:val="22"/>
          <w:shd w:fill="auto" w:val="clear"/>
        </w:rPr>
      </w:pPr>
    </w:p>
    <w:p>
      <w:pPr>
        <w:suppressAutoHyphens w:val="true"/>
        <w:spacing w:before="0" w:after="0" w:line="240"/>
        <w:ind w:right="0" w:left="0" w:firstLine="708"/>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Утвержден</w:t>
      </w:r>
    </w:p>
    <w:p>
      <w:pPr>
        <w:suppressAutoHyphens w:val="true"/>
        <w:spacing w:before="0" w:after="0" w:line="240"/>
        <w:ind w:right="0" w:left="5103"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решением Собрания депутатов</w:t>
      </w:r>
    </w:p>
    <w:p>
      <w:pPr>
        <w:tabs>
          <w:tab w:val="left" w:pos="5355" w:leader="none"/>
        </w:tabs>
        <w:suppressAutoHyphens w:val="true"/>
        <w:spacing w:before="0" w:after="0" w:line="240"/>
        <w:ind w:right="0" w:left="5103"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Зуевского сельсовета</w:t>
      </w:r>
    </w:p>
    <w:p>
      <w:pPr>
        <w:tabs>
          <w:tab w:val="left" w:pos="5355" w:leader="none"/>
        </w:tabs>
        <w:suppressAutoHyphens w:val="true"/>
        <w:spacing w:before="0" w:after="0" w:line="240"/>
        <w:ind w:right="0" w:left="5103"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Солнцевского  района</w:t>
      </w:r>
    </w:p>
    <w:p>
      <w:pPr>
        <w:tabs>
          <w:tab w:val="left" w:pos="5355" w:leader="none"/>
        </w:tabs>
        <w:suppressAutoHyphens w:val="true"/>
        <w:spacing w:before="0" w:after="0" w:line="240"/>
        <w:ind w:right="0" w:left="5103"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Курской области</w:t>
      </w:r>
    </w:p>
    <w:p>
      <w:pPr>
        <w:tabs>
          <w:tab w:val="left" w:pos="5730" w:leader="none"/>
        </w:tabs>
        <w:suppressAutoHyphens w:val="true"/>
        <w:spacing w:before="0" w:after="0" w:line="240"/>
        <w:ind w:right="0" w:left="5103"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 19 февраля 2019 года № 10/2</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ВРЕМЕННЫЙ ПОРЯДОК</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проведения публичных слушаний по утверждению годового отчета за 2018 год по Администрации Зуевского сельсовета</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Настоящий Порядок разработан в соответствии с Федеральным законом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регулирует вопросы проведения публичных слушаний по утверждению годового отчета за 2018 год по Администрации Зуевского сельсовета </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Публичные слушания по утверждению годового отчета за 2018 год по Администрации Зуевского сельсовета,  являются одним из способов непосредственного участия граждан в осуществлении местного самоуправления.</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Решение о проведении публичных слушаний, включающее информацию о месте и времени проведения публичных слушаний, принимает Собрание депутатов Зуевского сельсовета Солнцевского района. Данное решение подлежит обнародованию на 8-и информационных стендах, расположенных:</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w:t>
      </w:r>
      <w:r>
        <w:rPr>
          <w:rFonts w:ascii="Times New Roman" w:hAnsi="Times New Roman" w:cs="Times New Roman" w:eastAsia="Times New Roman"/>
          <w:color w:val="auto"/>
          <w:spacing w:val="0"/>
          <w:position w:val="0"/>
          <w:sz w:val="28"/>
          <w:shd w:fill="auto" w:val="clear"/>
        </w:rPr>
        <w:t xml:space="preserve">й - здание администрации Зуевского сельсовета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Солнцевского района, д. с.Зуевка;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й - здание МУК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Зуевская сельская библиотека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Солнцевского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района , с.Зуевка;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й - здание магазина ПО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Солнцевское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с.Зуевка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Солнцевского района;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й - здание МУК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Выползовская  сельская библиотека</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Солнцевского района, с.Выползово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w:t>
      </w:r>
      <w:r>
        <w:rPr>
          <w:rFonts w:ascii="Times New Roman" w:hAnsi="Times New Roman" w:cs="Times New Roman" w:eastAsia="Times New Roman"/>
          <w:color w:val="auto"/>
          <w:spacing w:val="0"/>
          <w:position w:val="0"/>
          <w:sz w:val="28"/>
          <w:shd w:fill="auto" w:val="clear"/>
        </w:rPr>
        <w:t xml:space="preserve">й - здание магазина ПО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Солнцевское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с.Дежевка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Солнцевского района;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w:t>
      </w:r>
      <w:r>
        <w:rPr>
          <w:rFonts w:ascii="Times New Roman" w:hAnsi="Times New Roman" w:cs="Times New Roman" w:eastAsia="Times New Roman"/>
          <w:color w:val="auto"/>
          <w:spacing w:val="0"/>
          <w:position w:val="0"/>
          <w:sz w:val="28"/>
          <w:shd w:fill="auto" w:val="clear"/>
        </w:rPr>
        <w:t xml:space="preserve">й - здание МУК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Б.Княжевская сельская библиотека</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Солнцевского района, д.Княжаяе;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w:t>
      </w:r>
      <w:r>
        <w:rPr>
          <w:rFonts w:ascii="Times New Roman" w:hAnsi="Times New Roman" w:cs="Times New Roman" w:eastAsia="Times New Roman"/>
          <w:color w:val="auto"/>
          <w:spacing w:val="0"/>
          <w:position w:val="0"/>
          <w:sz w:val="28"/>
          <w:shd w:fill="auto" w:val="clear"/>
        </w:rPr>
        <w:t xml:space="preserve">й - здание магазина ПО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Солнцевское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 Выползово</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Солнцевского района;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w:t>
      </w:r>
      <w:r>
        <w:rPr>
          <w:rFonts w:ascii="Times New Roman" w:hAnsi="Times New Roman" w:cs="Times New Roman" w:eastAsia="Times New Roman"/>
          <w:color w:val="auto"/>
          <w:spacing w:val="0"/>
          <w:position w:val="0"/>
          <w:sz w:val="28"/>
          <w:shd w:fill="auto" w:val="clear"/>
        </w:rPr>
        <w:t xml:space="preserve">й - здание МУК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Гридасовская  сельская библиотека</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Солнцевского района, д.Гридасово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позднее, чем за 7 дней до дня публичных слушаний.</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В публичных слушаниях могут принимать участие все желающие граждане, постоянно проживающие на территории Зуевского сельсовета Солнцевского района.</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Председательствующим на публичных слушаниях является    Председатель Собрания депутатов Зуевского сельсовета Солнцевского района, либо председатель комиссии по обсуждению по утверждению годового отчета за 2018 год по Администрации Зуевского сельсовета. Председательствующий ведет публичные слушания и следит за порядком обсуждения вопросов повестки публичных слушаний. В ходе публичных слушаний ведется протокол.</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Публичные слушания начинаются кратким вступительным словом председательствующего, который информирует собравшихся о существе обсуждаемого вопроса, порядке проведения публичных слушаний и определении их регламента. Затем слово предоставляется членам комиссии, после чего следует обсуждение вопросов участников слушаний, которые могут быть заданы как в устной, так и в письменной формах.</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Протокол публичных слушаний вместе с принятыми на них рекомендациями направляется Собранию депутатов Зуевского сельсовета Солнцевского района Курской области и обнародуется на информационных стендах, указанных в п. 3.</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Подготовка и проведение публичных слушаний, подготовка всех информационных материалов возлагается на Председателя Собрания депутатов Зуевского сельсовета Солнцевского района Курской области.</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1">
    <w:abstractNumId w:val="6"/>
  </w:num>
  <w:num w:numId="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