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900" w:dyaOrig="1843">
          <v:rect xmlns:o="urn:schemas-microsoft-com:office:office" xmlns:v="urn:schemas-microsoft-com:vml" id="rectole0000000000" style="width:95.000000pt;height:92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10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100"/>
          <w:position w:val="0"/>
          <w:sz w:val="3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24 октября 2017 г. № 119</w:t>
      </w:r>
    </w:p>
    <w:p>
      <w:pPr>
        <w:spacing w:before="0" w:after="0" w:line="240"/>
        <w:ind w:right="3698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Порядке и об основаниях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заключения контрактов, предметом которых является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одновременно выполнение работ по проектированию,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строительству и вводу в эксплуатацию объектов капитального строительства</w:t>
      </w:r>
    </w:p>
    <w:p>
      <w:pPr>
        <w:spacing w:before="100" w:after="10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частью 16.1 статьи 34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Федерального закона "О контрактной системе в сфере закупок товаров, работ, услуг для обеспечения государственных и муниципальных нужд" Администрация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 Солнцевского 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области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прилагаемые: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Правила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Положение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Установить, что: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органами исполнительной власти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 самоуправления, являющимися муниципальными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заказчиками таких объектов, в пределах бюджетных ассигнований муниципального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 возложить на главного специалиста-эксперта Администрации Зуевского сельсовета, Четверикову Е.Н.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обнародования.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А.И.Панин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Утверждены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24.10. 2017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 N 119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ЗАКЛЮЧЕНИЯ КОНТРАКТОВ, ПРЕДМЕТОМ КОТОРЫХ ЯВЛЯЕТСЯ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ОДНОВРЕМЕННО ВЫПОЛНЕНИЕ РАБОТ ПО ПРОЕКТИРОВАНИЮ,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СТРОИТЕЛЬСТВУ И ВВОДУ В ЭКСПЛУАТАЦИЮ ОБЪЕКТОВ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КАПИТАЛЬНОГО СТРОИТЕЛЬСТВА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решение о заключении контракта принято главным распорядителем средств муниципального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бюджетного планирования) - в отношении объектов капитального строительства муниципальной собственности, высшим должностным лицом в отношении объектов капитального 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о заключении контракта, предусмотренное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подпунктом "б" пункта 2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настоящих Правил, содержит в том числе: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заказчика;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мощность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ввода в эксплуатацию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подпунктом "б" пункта 2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настоящих Правил.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Подготовка и согласование проекта решения о заключении контракта, принимаемого главным распорядителем средств муниципального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Подготовка и согласование проекта решения о заключении контракта, принимаемого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главой муниципального образования, осуществляется в порядке, установленном соответственно местной администрацией муниципального образования.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Контракт предусматривает следующие условия: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Цк= С+ Цкк-А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2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где: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 - переменная, значение которой устанавливается равным сметной стоимости строительства, указанной в </w:t>
      </w:r>
      <w:hyperlink xmlns:r="http://schemas.openxmlformats.org/officeDocument/2006/relationships" r:id="docRId7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абзаце четвертом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xmlns:r="http://schemas.openxmlformats.org/officeDocument/2006/relationships" r:id="docRId8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абзаце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"file:///G:/Users/Eduard/Downloads/ÐÑÐ¾ÐµÐºÑ%20ÐÐ¾ÑÑ.%20âÐ¿Ð¾%20ÐºÐ°Ð¿.Ð²Ð»Ð¾Ð¶ÐµÐ½Ð¸ÑÐ¼.docx"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пятом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24.10.2017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 N 119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ПРОВЕДЕНИИ ТЕХНОЛОГИЧЕСКОГО И ЦЕНОВОГО АУДИТА ОБОСНОВАНИЯ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ИНВЕСТИЦИЙ, ОСУЩЕСТВЛЯЕМЫХ В ИНВЕСТИЦИОННЫЕ ПРОЕКТЫ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СОЗДАНИЮ ОБЪЕКТОВ КАПИТАЛЬНОГО СТРОИТЕЛЬСТВА,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ОТНОШЕНИИ КОТОРЫХ ПЛАНИРУЕТСЯ ЗАКЛЮЧЕНИЕ КОНТРАКТОВ,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ПРЕДМЕТОМ КОТОРЫХ ЯВЛЯЕТСЯ ОДНОВРЕМЕННО ВЫПОЛНЕНИЕ РАБОТ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ПРОЕКТИРОВАНИЮ, СТРОИТЕЛЬСТВУ И ВВОДУ В ЭКСПЛУАТАЦИЮ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ОБЪЕКТОВ КАПИТАЛЬНОГО СТРОИТЕЛЬСТВА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hyperlink xmlns:r="http://schemas.openxmlformats.org/officeDocument/2006/relationships" r:id="docRId9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Требования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составу и содержанию обоснования инвестиций приведены в приложении.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Представление документов для проведения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технологического и ценового аудита обоснования инвестиций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заявление о проведении технологического и ценового аудита обоснования инвестиций, в котором указываются: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xmlns:r="http://schemas.openxmlformats.org/officeDocument/2006/relationships" r:id="docRId1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электронной подписи";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формат электронных документов должен соответствовать требованиям к электронным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xmlns:r="http://schemas.openxmlformats.org/officeDocument/2006/relationships" r:id="docRId1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пунктом 7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представление не в полном объеме документов, указанных в </w:t>
      </w:r>
      <w:hyperlink xmlns:r="http://schemas.openxmlformats.org/officeDocument/2006/relationships" r:id="docRId1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пункте 4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Положения или оформленных с нарушением положений, предусмотренных </w:t>
      </w:r>
      <w:hyperlink xmlns:r="http://schemas.openxmlformats.org/officeDocument/2006/relationships" r:id="docRId1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пунктом 5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Положения;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предмет договора;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xmlns:r="http://schemas.openxmlformats.org/officeDocument/2006/relationships" r:id="docRId1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пунктом 9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Положения;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размер платы за проведение технологического и ценового аудита обоснования инвестиций;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xmlns:r="http://schemas.openxmlformats.org/officeDocument/2006/relationships" r:id="docRId15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пунктом 5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Положения на бумажном носителе;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перечень оснований для внесения в договор изменений или его досрочного расторжения;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ответственность сторон за неисполнение и (или) ненадлежащее исполнение обязательств, предусмотренных договором.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Указанный срок может быть продлен по инициативе заявителя не более чем на 15 календарных дней.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xmlns:r="http://schemas.openxmlformats.org/officeDocument/2006/relationships" r:id="docRId16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пункте 18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Положения.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технологического и ценового аудита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обоснования инвестиций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Предметом технологического и ценового аудита обоснования инвестиций является экспертная оценка: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оптимальности выбора места размещения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оптимальности сроков и этапов строительства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 технологического и ценового аудита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обоснования инвестиций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xmlns:r="http://schemas.openxmlformats.org/officeDocument/2006/relationships" r:id="docRId17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пунктом 10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Положения, а также выводы, указанные в </w:t>
      </w:r>
      <w:hyperlink xmlns:r="http://schemas.openxmlformats.org/officeDocument/2006/relationships" r:id="docRId18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пункте 11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Положения (при их наличии).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Заключение на бумажном носителе выдается (направляется) в 4 экземплярах.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16.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Экспертные организации ведут реестр выданных заключений.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публичного обсуждения обоснования инвестиций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19.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20.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21.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22.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Размер платы за проведение технологического и ценового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аудита обоснования инвестиций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23.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размере указанной платы учитывается сумма налога на добавленную стоимость.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Положению о проведении технологического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ценового аудита обоснования инвестиций,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осуществляемых в инвестиционные проекты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созданию объектов капитального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строительства, в отношении которых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планируется заключение контрактов,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предметом которых является одновременно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выполнение работ по проектированию,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строительству и вводу в эксплуатацию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объектов капитального строительства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СОСТАВУ И СОДЕРЖАНИЮ ОБОСНОВАНИЯ ИНВЕСТИЦИЙ,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ОСУЩЕСТВЛЯЕМЫХ В ИНВЕСТИЦИОННЫЙ ПРОЕКТ ПО СОЗДАНИЮ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 КАПИТАЛЬНОГО СТРОИТЕЛЬСТВА, В ОТНОШЕНИИ КОТОРОГО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ПЛАНИРУЕТСЯ ЗАКЛЮЧЕНИЕ КОНТРАКТА, ПРЕДМЕТОМ КОТОРОГО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 ОДНОВРЕМЕННО ВЫПОЛНЕНИЕ РАБОТ ПО ПРОЕКТИРОВАНИЮ,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СТРОИТЕЛЬСТВУ И ВВОДУ В ЭКСПЛУАТАЦИЮ ОБЪЕКТА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КАПИТАЛЬНОГО СТРОИТЕЛЬСТВА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Обоснование инвестиций состоит из следующих разделов: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пояснительная записка;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схема планировочной организации земельного участка;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основные (принципиальные) архитектурно-художественные решения;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основные (принципиальные) технологические решения;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основные (принципиальные) конструктивные и объемно-планировочные решения;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проект организации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з) проект организации работ по сносу или демонтажу существующих объектов капитального строительства (при необходимости);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и) перечень мероприятий по охране окружающей среды;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к) перечень мероприятий по обеспечению пожарной безопасности;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м) обоснование предполагаемой (предельной) стоимости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н) проект задания на проектирование.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 к содержанию обоснования инвестиций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пояснительной записки,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исходные данные и условия для подготовки обоснования инвестиций, включая реквизиты следующих документов: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застройщика (технического заказчика) о подготовке обоснования инвестиций;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отчетная документация о выполнении инженерных изысканий;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иные документы, предусмотренные нормативными правовыми актами Российской Федерации;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xmlns:r="http://schemas.openxmlformats.org/officeDocument/2006/relationships" r:id="docRId19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пункте 16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документа;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 (копии документов, оформленные в установленном порядке), указанные в </w:t>
      </w:r>
      <w:hyperlink xmlns:r="http://schemas.openxmlformats.org/officeDocument/2006/relationships" r:id="docRId2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подпункте "а" пункта 4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документа, прилагаются к пояснительной записке в полном объеме.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схемы планировочной организации земельного участка, состоит из текстовой и графической частей.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Текстовая часть раздела, касающегося схемы планировочной организации земельного участка,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Графическая часть раздела, касающегося схемы планировочной организации земельного участка,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схему планировочной организации земельного участка;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ситуационный план размещения объекта капитального строительства в границах земельного участка.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основных (принципиальных) архитектурно-художественных решений,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основных (принципиальных) технологических решений,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описание источников поступления сырья и материалов - для объектов производственного назначения;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перечень технологических мероприятий по предотвращению (сокращению) выбросов и сбросов вредных веществ в окружающую среду;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описание и обоснование основных проектных решений, направленных на соблюдение требований технологических регламентов;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Текстовая часть раздела, касающегося основных (принципиальных) конструктивных и объемно-планировочных решений,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Графическая часть раздела, касающегося основных (принципиальных) конструктивных и объемно-планировочных решений,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поэтажные планы зданий и сооружений;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чертежи характерных разрезов зданий и сооружений;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схемы несущих и ограждающих конструкций.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обоснование выбора инженерно-технических решений и основного технологического оборудования по укрупненной номенклатуре.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проекта организации строительства,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характеристику района места расположения объекта капитального строительства и условий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оценку развитости транспортной инфраструктуры;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технологическую последовательность работ при строительстве объектов капитального строительства или их отдельных элементов;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и) описание основных проектных решений и мероприятий по охране окружающей среды в период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к) обоснование планируемой продолжительности строительства объекта капитального строительства и его отдельных этапов.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перечень зданий, строений и сооружений, подлежащих сносу (демонтажу);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перечень мероприятий по выведению из эксплуатации зданий, строений и сооружений.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17.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перечня мероприятий по охране окружающей среды,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охране атмосферного воздуха;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оборотному водоснабжению - для объектов производственного назначения;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сбору, использованию, обезвреживанию, транспортировке и размещению опасных отходов;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охране недр - для объектов производственного назначения;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обеспечению рационального использования и охраны водных объектов, а также сохранения водных биологических ресурсов.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18.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перечня мероприятий по обеспечению пожарной безопасности,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перечень основных мероприятий по обеспечению пожарной безопасности (виды и объем мероприятий).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19.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сведения о классе энергетической эффективности объекта капитального строительства.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20.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обоснования предполагаемой (предельной) стоимости строительства, состоит из текстовой части и содержит: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21.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Раздел, касающийся проекта задания на проектирование, содержит согласованный с руководителем главного распорядителя средств муниципального бюджета в отношении объекта муниципальной собственности, главного распорядителя средств бюджета субъекта Российской Федерации в отношении объекта муниципальной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3698" w:left="0" w:firstLine="0"/>
        <w:jc w:val="left"/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file://G:\Users\Eduard\Downloads\%D0%9F%D1%80%D0%BE%D0%B5%D0%BA%D1%82%20%D0%9F%D0%BE%D1%81%D1%82.%20%E2%84%96%D0%BF%D0%BE%20%D0%BA%D0%B0%D0%BF.%D0%B2%D0%BB%D0%BE%D0%B6%D0%B5%D0%BD%D0%B8%D1%8F%D0%BC.docx" Id="docRId17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7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14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6" Type="http://schemas.openxmlformats.org/officeDocument/2006/relationships/hyperlink"/><Relationship Target="media/image0.wmf" Id="docRId1" Type="http://schemas.openxmlformats.org/officeDocument/2006/relationships/image"/><Relationship TargetMode="External" Target="file://G:\Users\Eduard\Downloads\%D0%9F%D1%80%D0%BE%D0%B5%D0%BA%D1%82%20%D0%9F%D0%BE%D1%81%D1%82.%20%E2%84%96%D0%BF%D0%BE%20%D0%BA%D0%B0%D0%BF.%D0%B2%D0%BB%D0%BE%D0%B6%D0%B5%D0%BD%D0%B8%D1%8F%D0%BC.docx" Id="docRId11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15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19" Type="http://schemas.openxmlformats.org/officeDocument/2006/relationships/hyperlink"/><Relationship Target="styles.xml" Id="docRId22" Type="http://schemas.openxmlformats.org/officeDocument/2006/relationships/styles"/><Relationship TargetMode="External" Target="file://G:\Users\Eduard\Downloads\%D0%9F%D1%80%D0%BE%D0%B5%D0%BA%D1%82%20%D0%9F%D0%BE%D1%81%D1%82.%20%E2%84%96%D0%BF%D0%BE%20%D0%BA%D0%B0%D0%BF.%D0%B2%D0%BB%D0%BE%D0%B6%D0%B5%D0%BD%D0%B8%D1%8F%D0%BC.docx" Id="docRId5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9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file://G:\Users\Eduard\Downloads\%D0%9F%D1%80%D0%BE%D0%B5%D0%BA%D1%82%20%D0%9F%D0%BE%D1%81%D1%82.%20%E2%84%96%D0%BF%D0%BE%20%D0%BA%D0%B0%D0%BF.%D0%B2%D0%BB%D0%BE%D0%B6%D0%B5%D0%BD%D0%B8%D1%8F%D0%BC.docx" Id="docRId12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16" Type="http://schemas.openxmlformats.org/officeDocument/2006/relationships/hyperlink"/><Relationship Target="numbering.xml" Id="docRId21" Type="http://schemas.openxmlformats.org/officeDocument/2006/relationships/numbering"/><Relationship TargetMode="External" Target="file://G:\Users\Eduard\Downloads\%D0%9F%D1%80%D0%BE%D0%B5%D0%BA%D1%82%20%D0%9F%D0%BE%D1%81%D1%82.%20%E2%84%96%D0%BF%D0%BE%20%D0%BA%D0%B0%D0%BF.%D0%B2%D0%BB%D0%BE%D0%B6%D0%B5%D0%BD%D0%B8%D1%8F%D0%BC.docx" Id="docRId4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8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13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20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3" Type="http://schemas.openxmlformats.org/officeDocument/2006/relationships/hyperlink"/><Relationship TargetMode="External" Target="consultantplus://offline/ref=D954AE2A4935B2877FFD5281903572ED6BD939FFFE2A70C762860355E7S9S1K" Id="docRId10" Type="http://schemas.openxmlformats.org/officeDocument/2006/relationships/hyperlink"/><Relationship TargetMode="External" Target="file://G:\Users\Eduard\Downloads\%D0%9F%D1%80%D0%BE%D0%B5%D0%BA%D1%82%20%D0%9F%D0%BE%D1%81%D1%82.%20%E2%84%96%D0%BF%D0%BE%20%D0%BA%D0%B0%D0%BF.%D0%B2%D0%BB%D0%BE%D0%B6%D0%B5%D0%BD%D0%B8%D1%8F%D0%BC.docx" Id="docRId18" Type="http://schemas.openxmlformats.org/officeDocument/2006/relationships/hyperlink"/><Relationship TargetMode="External" Target="consultantplus://offline/ref=D954AE2A4935B2877FFD5281903572ED6BD831FEF82470C762860355E791CC039FA6E10152S8SAK" Id="docRId2" Type="http://schemas.openxmlformats.org/officeDocument/2006/relationships/hyperlink"/></Relationships>
</file>