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60"/>
          <w:position w:val="0"/>
          <w:sz w:val="32"/>
          <w:shd w:fill="auto" w:val="clear"/>
        </w:rPr>
      </w:pPr>
      <w:r>
        <w:rPr>
          <w:rFonts w:ascii="Arial" w:hAnsi="Arial" w:cs="Arial" w:eastAsia="Arial"/>
          <w:b/>
          <w:color w:val="000000"/>
          <w:spacing w:val="60"/>
          <w:position w:val="0"/>
          <w:sz w:val="32"/>
          <w:shd w:fill="auto" w:val="clear"/>
        </w:rPr>
        <w:t xml:space="preserve">СОБРАНИЕ ДЕПУТАТОВ</w:t>
      </w: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СОЛНЦЕВСКОГО РАЙОНА </w:t>
      </w:r>
    </w:p>
    <w:p>
      <w:pPr>
        <w:spacing w:before="0" w:after="0" w:line="240"/>
        <w:ind w:right="0" w:left="0" w:firstLine="0"/>
        <w:jc w:val="center"/>
        <w:rPr>
          <w:rFonts w:ascii="Arial" w:hAnsi="Arial" w:cs="Arial" w:eastAsia="Arial"/>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100"/>
          <w:position w:val="0"/>
          <w:sz w:val="32"/>
          <w:shd w:fill="auto" w:val="clear"/>
        </w:rPr>
      </w:pPr>
      <w:r>
        <w:rPr>
          <w:rFonts w:ascii="Arial" w:hAnsi="Arial" w:cs="Arial" w:eastAsia="Arial"/>
          <w:b/>
          <w:color w:val="000000"/>
          <w:spacing w:val="100"/>
          <w:position w:val="0"/>
          <w:sz w:val="32"/>
          <w:shd w:fill="auto" w:val="clear"/>
        </w:rPr>
        <w:t xml:space="preserve">РЕШЕНИЕ</w:t>
      </w: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от 15  июня 2017 года   № 12/4</w:t>
      </w:r>
    </w:p>
    <w:p>
      <w:pPr>
        <w:spacing w:before="0" w:after="0" w:line="240"/>
        <w:ind w:right="0" w:left="0" w:firstLine="0"/>
        <w:jc w:val="center"/>
        <w:rPr>
          <w:rFonts w:ascii="Arial" w:hAnsi="Arial" w:cs="Arial" w:eastAsia="Arial"/>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Об утверждении методических рекомендаций по юридико-техническому оформлению нормативных правовых актов принимаемых </w:t>
      </w: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Собранием депутатов Зуевского сельсовета Солнцевского района </w:t>
      </w:r>
    </w:p>
    <w:p>
      <w:pPr>
        <w:spacing w:before="0" w:after="0" w:line="240"/>
        <w:ind w:right="0" w:left="0" w:firstLine="0"/>
        <w:jc w:val="center"/>
        <w:rPr>
          <w:rFonts w:ascii="Arial" w:hAnsi="Arial" w:cs="Arial" w:eastAsia="Arial"/>
          <w:b/>
          <w:color w:val="000000"/>
          <w:spacing w:val="0"/>
          <w:position w:val="0"/>
          <w:sz w:val="32"/>
          <w:shd w:fill="auto" w:val="clear"/>
        </w:rPr>
      </w:pPr>
    </w:p>
    <w:p>
      <w:pPr>
        <w:tabs>
          <w:tab w:val="left" w:pos="1249" w:leader="none"/>
        </w:tabs>
        <w:spacing w:before="0" w:after="0" w:line="240"/>
        <w:ind w:right="0" w:left="0" w:firstLine="0"/>
        <w:jc w:val="both"/>
        <w:rPr>
          <w:rFonts w:ascii="Arial" w:hAnsi="Arial" w:cs="Arial" w:eastAsia="Arial"/>
          <w:color w:val="000000"/>
          <w:spacing w:val="10"/>
          <w:position w:val="0"/>
          <w:sz w:val="24"/>
          <w:u w:val="single"/>
          <w:shd w:fill="auto" w:val="clear"/>
        </w:rPr>
      </w:pPr>
      <w:r>
        <w:rPr>
          <w:rFonts w:ascii="Arial" w:hAnsi="Arial" w:cs="Arial" w:eastAsia="Arial"/>
          <w:color w:val="000000"/>
          <w:spacing w:val="10"/>
          <w:position w:val="0"/>
          <w:sz w:val="24"/>
          <w:u w:val="single"/>
          <w:shd w:fill="auto" w:val="clear"/>
        </w:rPr>
        <w:tab/>
      </w:r>
      <w:r>
        <w:rPr>
          <w:rFonts w:ascii="Arial" w:hAnsi="Arial" w:cs="Arial" w:eastAsia="Arial"/>
          <w:color w:val="000000"/>
          <w:spacing w:val="10"/>
          <w:position w:val="0"/>
          <w:sz w:val="24"/>
          <w:u w:val="single"/>
          <w:shd w:fill="auto" w:val="clear"/>
        </w:rPr>
        <w:t xml:space="preserve">Руководствуясь Федеральным законом №172-ФЗ от 17.07.2009 года </w:t>
      </w:r>
      <w:r>
        <w:rPr>
          <w:rFonts w:ascii="Arial" w:hAnsi="Arial" w:cs="Arial" w:eastAsia="Arial"/>
          <w:color w:val="000000"/>
          <w:spacing w:val="10"/>
          <w:position w:val="0"/>
          <w:sz w:val="24"/>
          <w:u w:val="single"/>
          <w:shd w:fill="auto" w:val="clear"/>
        </w:rPr>
        <w:t xml:space="preserve">«</w:t>
      </w:r>
      <w:r>
        <w:rPr>
          <w:rFonts w:ascii="Arial" w:hAnsi="Arial" w:cs="Arial" w:eastAsia="Arial"/>
          <w:color w:val="000000"/>
          <w:spacing w:val="10"/>
          <w:position w:val="0"/>
          <w:sz w:val="24"/>
          <w:u w:val="single"/>
          <w:shd w:fill="auto" w:val="clear"/>
        </w:rPr>
        <w:t xml:space="preserve">Об антикоррупционной экспертизе нормативных правовых актов и проектов нормативных правовых актов</w:t>
      </w:r>
      <w:r>
        <w:rPr>
          <w:rFonts w:ascii="Arial" w:hAnsi="Arial" w:cs="Arial" w:eastAsia="Arial"/>
          <w:color w:val="000000"/>
          <w:spacing w:val="10"/>
          <w:position w:val="0"/>
          <w:sz w:val="24"/>
          <w:u w:val="single"/>
          <w:shd w:fill="auto" w:val="clear"/>
        </w:rPr>
        <w:t xml:space="preserve">» </w:t>
      </w:r>
      <w:r>
        <w:rPr>
          <w:rFonts w:ascii="Arial" w:hAnsi="Arial" w:cs="Arial" w:eastAsia="Arial"/>
          <w:color w:val="000000"/>
          <w:spacing w:val="10"/>
          <w:position w:val="0"/>
          <w:sz w:val="24"/>
          <w:u w:val="single"/>
          <w:shd w:fill="auto" w:val="clear"/>
        </w:rPr>
        <w:t xml:space="preserve">Собрание депутатов Зуевского сельсовета Солнцевского района РЕШИЛО:</w:t>
      </w:r>
    </w:p>
    <w:p>
      <w:pPr>
        <w:tabs>
          <w:tab w:val="left" w:pos="1249" w:leader="none"/>
        </w:tabs>
        <w:spacing w:before="0" w:after="0" w:line="240"/>
        <w:ind w:right="0" w:left="0" w:firstLine="0"/>
        <w:jc w:val="both"/>
        <w:rPr>
          <w:rFonts w:ascii="Arial" w:hAnsi="Arial" w:cs="Arial" w:eastAsia="Arial"/>
          <w:color w:val="000000"/>
          <w:spacing w:val="0"/>
          <w:position w:val="0"/>
          <w:sz w:val="24"/>
          <w:u w:val="single"/>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w:t>
      </w:r>
      <w:r>
        <w:rPr>
          <w:rFonts w:ascii="Arial" w:hAnsi="Arial" w:cs="Arial" w:eastAsia="Arial"/>
          <w:color w:val="000000"/>
          <w:spacing w:val="0"/>
          <w:position w:val="0"/>
          <w:sz w:val="24"/>
          <w:shd w:fill="auto" w:val="clear"/>
        </w:rPr>
        <w:t xml:space="preserve">Утвердить методические рекомендации по юридико-техническому оформлению нормативных правовых актов принимаемых Собранием депутатов Зуевского сельсовета Солнцевского района.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 </w:t>
      </w:r>
      <w:r>
        <w:rPr>
          <w:rFonts w:ascii="Arial" w:hAnsi="Arial" w:cs="Arial" w:eastAsia="Arial"/>
          <w:color w:val="000000"/>
          <w:spacing w:val="0"/>
          <w:position w:val="0"/>
          <w:sz w:val="24"/>
          <w:shd w:fill="auto" w:val="clear"/>
        </w:rPr>
        <w:t xml:space="preserve">Решение вступает в силу со дня подписания.</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p>
    <w:p>
      <w:pPr>
        <w:tabs>
          <w:tab w:val="left" w:pos="708"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 </w:t>
      </w:r>
    </w:p>
    <w:p>
      <w:pPr>
        <w:tabs>
          <w:tab w:val="left" w:pos="708"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w:t>
      </w:r>
    </w:p>
    <w:p>
      <w:pPr>
        <w:tabs>
          <w:tab w:val="left" w:pos="708"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w:t>
        <w:tab/>
        <w:tab/>
        <w:tab/>
        <w:tab/>
        <w:tab/>
        <w:t xml:space="preserve">            А.Д.Гридасов</w:t>
      </w:r>
    </w:p>
    <w:p>
      <w:pPr>
        <w:spacing w:before="0" w:after="0" w:line="360"/>
        <w:ind w:right="0" w:left="0" w:firstLine="0"/>
        <w:jc w:val="center"/>
        <w:rPr>
          <w:rFonts w:ascii="Arial" w:hAnsi="Arial" w:cs="Arial" w:eastAsia="Arial"/>
          <w:color w:val="000000"/>
          <w:spacing w:val="0"/>
          <w:position w:val="0"/>
          <w:sz w:val="24"/>
          <w:shd w:fill="auto" w:val="clear"/>
        </w:rPr>
      </w:pPr>
    </w:p>
    <w:p>
      <w:pPr>
        <w:spacing w:before="0" w:after="0" w:line="240"/>
        <w:ind w:right="0" w:left="0" w:firstLine="567"/>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 Зуевского сельсовета   </w:t>
      </w:r>
    </w:p>
    <w:p>
      <w:pPr>
        <w:spacing w:before="0" w:after="0" w:line="240"/>
        <w:ind w:right="0" w:left="0" w:firstLine="567"/>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Солнцевского района </w:t>
        <w:tab/>
        <w:tab/>
        <w:tab/>
        <w:tab/>
        <w:tab/>
        <w:t xml:space="preserve">            А.И.Панин                                   </w:t>
      </w:r>
    </w:p>
    <w:p>
      <w:pPr>
        <w:spacing w:before="0" w:after="0" w:line="240"/>
        <w:ind w:right="0" w:left="0" w:firstLine="0"/>
        <w:jc w:val="both"/>
        <w:rPr>
          <w:rFonts w:ascii="Arial" w:hAnsi="Arial" w:cs="Arial" w:eastAsia="Arial"/>
          <w:color w:val="000000"/>
          <w:spacing w:val="0"/>
          <w:position w:val="0"/>
          <w:sz w:val="24"/>
          <w:shd w:fill="auto" w:val="clear"/>
        </w:rPr>
      </w:pPr>
    </w:p>
    <w:p>
      <w:pPr>
        <w:tabs>
          <w:tab w:val="left" w:pos="1249" w:leader="none"/>
        </w:tabs>
        <w:spacing w:before="0" w:after="0" w:line="240"/>
        <w:ind w:right="0" w:left="0" w:firstLine="0"/>
        <w:jc w:val="both"/>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w:t>
      </w: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u w:val="single"/>
          <w:shd w:fill="auto" w:val="clear"/>
        </w:rPr>
      </w:pPr>
    </w:p>
    <w:p>
      <w:pPr>
        <w:spacing w:before="0" w:after="0" w:line="240"/>
        <w:ind w:right="0" w:left="0" w:firstLine="0"/>
        <w:jc w:val="both"/>
        <w:rPr>
          <w:rFonts w:ascii="Arial" w:hAnsi="Arial" w:cs="Arial" w:eastAsia="Arial"/>
          <w:b/>
          <w:color w:val="000000"/>
          <w:spacing w:val="20"/>
          <w:position w:val="0"/>
          <w:sz w:val="24"/>
          <w:shd w:fill="auto" w:val="clear"/>
        </w:rPr>
      </w:pPr>
    </w:p>
    <w:p>
      <w:pPr>
        <w:spacing w:before="0" w:after="0" w:line="240"/>
        <w:ind w:right="0" w:left="0" w:firstLine="0"/>
        <w:jc w:val="right"/>
        <w:rPr>
          <w:rFonts w:ascii="Arial" w:hAnsi="Arial" w:cs="Arial" w:eastAsia="Arial"/>
          <w:color w:val="000000"/>
          <w:spacing w:val="20"/>
          <w:position w:val="0"/>
          <w:sz w:val="24"/>
          <w:shd w:fill="auto" w:val="clear"/>
        </w:rPr>
      </w:pPr>
      <w:r>
        <w:rPr>
          <w:rFonts w:ascii="Arial" w:hAnsi="Arial" w:cs="Arial" w:eastAsia="Arial"/>
          <w:color w:val="000000"/>
          <w:spacing w:val="20"/>
          <w:position w:val="0"/>
          <w:sz w:val="24"/>
          <w:shd w:fill="auto" w:val="clear"/>
        </w:rPr>
        <w:t xml:space="preserve">Приложение</w:t>
      </w:r>
    </w:p>
    <w:p>
      <w:pPr>
        <w:spacing w:before="0" w:after="0" w:line="240"/>
        <w:ind w:right="0" w:left="0" w:firstLine="0"/>
        <w:jc w:val="right"/>
        <w:rPr>
          <w:rFonts w:ascii="Arial" w:hAnsi="Arial" w:cs="Arial" w:eastAsia="Arial"/>
          <w:color w:val="000000"/>
          <w:spacing w:val="20"/>
          <w:position w:val="0"/>
          <w:sz w:val="24"/>
          <w:shd w:fill="auto" w:val="clear"/>
        </w:rPr>
      </w:pPr>
      <w:r>
        <w:rPr>
          <w:rFonts w:ascii="Arial" w:hAnsi="Arial" w:cs="Arial" w:eastAsia="Arial"/>
          <w:color w:val="000000"/>
          <w:spacing w:val="20"/>
          <w:position w:val="0"/>
          <w:sz w:val="24"/>
          <w:shd w:fill="auto" w:val="clear"/>
        </w:rPr>
        <w:t xml:space="preserve">К решению Собрания депутатов</w:t>
      </w:r>
    </w:p>
    <w:p>
      <w:pPr>
        <w:spacing w:before="0" w:after="0" w:line="240"/>
        <w:ind w:right="0" w:left="0" w:firstLine="0"/>
        <w:jc w:val="right"/>
        <w:rPr>
          <w:rFonts w:ascii="Arial" w:hAnsi="Arial" w:cs="Arial" w:eastAsia="Arial"/>
          <w:color w:val="000000"/>
          <w:spacing w:val="20"/>
          <w:position w:val="0"/>
          <w:sz w:val="24"/>
          <w:shd w:fill="auto" w:val="clear"/>
        </w:rPr>
      </w:pPr>
      <w:r>
        <w:rPr>
          <w:rFonts w:ascii="Arial" w:hAnsi="Arial" w:cs="Arial" w:eastAsia="Arial"/>
          <w:color w:val="000000"/>
          <w:spacing w:val="20"/>
          <w:position w:val="0"/>
          <w:sz w:val="24"/>
          <w:shd w:fill="auto" w:val="clear"/>
        </w:rPr>
        <w:t xml:space="preserve">Зуевского сельсовета</w:t>
      </w:r>
    </w:p>
    <w:p>
      <w:pPr>
        <w:spacing w:before="0" w:after="0" w:line="240"/>
        <w:ind w:right="0" w:left="0" w:firstLine="0"/>
        <w:jc w:val="right"/>
        <w:rPr>
          <w:rFonts w:ascii="Arial" w:hAnsi="Arial" w:cs="Arial" w:eastAsia="Arial"/>
          <w:color w:val="000000"/>
          <w:spacing w:val="20"/>
          <w:position w:val="0"/>
          <w:sz w:val="24"/>
          <w:shd w:fill="auto" w:val="clear"/>
        </w:rPr>
      </w:pPr>
      <w:r>
        <w:rPr>
          <w:rFonts w:ascii="Arial" w:hAnsi="Arial" w:cs="Arial" w:eastAsia="Arial"/>
          <w:color w:val="000000"/>
          <w:spacing w:val="20"/>
          <w:position w:val="0"/>
          <w:sz w:val="24"/>
          <w:shd w:fill="auto" w:val="clear"/>
        </w:rPr>
        <w:t xml:space="preserve"> </w:t>
      </w:r>
      <w:r>
        <w:rPr>
          <w:rFonts w:ascii="Arial" w:hAnsi="Arial" w:cs="Arial" w:eastAsia="Arial"/>
          <w:color w:val="000000"/>
          <w:spacing w:val="20"/>
          <w:position w:val="0"/>
          <w:sz w:val="24"/>
          <w:shd w:fill="auto" w:val="clear"/>
        </w:rPr>
        <w:t xml:space="preserve">Солнцевского района </w:t>
      </w:r>
    </w:p>
    <w:p>
      <w:pPr>
        <w:spacing w:before="0" w:after="0" w:line="240"/>
        <w:ind w:right="0" w:left="0" w:firstLine="0"/>
        <w:jc w:val="right"/>
        <w:rPr>
          <w:rFonts w:ascii="Arial" w:hAnsi="Arial" w:cs="Arial" w:eastAsia="Arial"/>
          <w:color w:val="000000"/>
          <w:spacing w:val="20"/>
          <w:position w:val="0"/>
          <w:sz w:val="24"/>
          <w:shd w:fill="auto" w:val="clear"/>
        </w:rPr>
      </w:pPr>
      <w:r>
        <w:rPr>
          <w:rFonts w:ascii="Arial" w:hAnsi="Arial" w:cs="Arial" w:eastAsia="Arial"/>
          <w:color w:val="000000"/>
          <w:spacing w:val="20"/>
          <w:position w:val="0"/>
          <w:sz w:val="24"/>
          <w:shd w:fill="auto" w:val="clear"/>
        </w:rPr>
        <w:t xml:space="preserve">от 15.06.2017 г. №12/4</w:t>
      </w:r>
    </w:p>
    <w:p>
      <w:pPr>
        <w:spacing w:before="0" w:after="0" w:line="240"/>
        <w:ind w:right="0" w:left="0" w:firstLine="0"/>
        <w:jc w:val="both"/>
        <w:rPr>
          <w:rFonts w:ascii="Arial" w:hAnsi="Arial" w:cs="Arial" w:eastAsia="Arial"/>
          <w:b/>
          <w:color w:val="000000"/>
          <w:spacing w:val="20"/>
          <w:position w:val="0"/>
          <w:sz w:val="24"/>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Методические рекомендации по юридико-техническому оформлению нормативных правовых актов принимаемых Собранием депутатов Зуевского сельсовета Солнцевского района </w:t>
      </w:r>
    </w:p>
    <w:p>
      <w:pPr>
        <w:spacing w:before="0" w:after="0" w:line="240"/>
        <w:ind w:right="0" w:left="0" w:firstLine="0"/>
        <w:jc w:val="center"/>
        <w:rPr>
          <w:rFonts w:ascii="Arial" w:hAnsi="Arial" w:cs="Arial" w:eastAsia="Arial"/>
          <w:b/>
          <w:color w:val="000000"/>
          <w:spacing w:val="20"/>
          <w:position w:val="0"/>
          <w:sz w:val="24"/>
          <w:shd w:fill="auto" w:val="clear"/>
        </w:rPr>
      </w:pP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Цель Методических рекомендаций по юридико-техническому оформлению нормативных правовых актов, принимаемых  Депутатами Собрания депутатов  Зуевского сельсовета Солнцевского района (далее - Методические рекомендации) состоит в обеспечении высокого качества нормативных правовых актов, принимаемых Депутатами Собрания депутатов  Зуевского сельсовета Солнцевского района  путем соблюдения единообразия в оформлении нормативных правовых актов и использовании средств, правил и приемов правотворческой техники.</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I</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СТРУКТУРА НОРМАТИВНОГО ПРАВОВОГО АКТА</w:t>
      </w: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Наименование нормативного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 по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связи,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pPr>
        <w:tabs>
          <w:tab w:val="left" w:pos="82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w:t>
      </w:r>
      <w:r>
        <w:rPr>
          <w:rFonts w:ascii="Arial" w:hAnsi="Arial" w:cs="Arial" w:eastAsia="Arial"/>
          <w:color w:val="000000"/>
          <w:spacing w:val="0"/>
          <w:position w:val="0"/>
          <w:sz w:val="24"/>
          <w:shd w:fill="auto" w:val="clear"/>
        </w:rPr>
        <w:t xml:space="preserve">Включение в нормативный правовой акт преамбулы не является обязательным. Преамбулы могут подразделяться на абзацы, частей в преамбулах нет.</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Преамбула: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 содержит самостоятельные нормативные предписания; не делится на статьи;</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 содержит ссылки на другие нормативные правовые акты, подлежащие признанию утратившими силу и изменению в связи с изданием нормативного правового акта; не содержит легальные дефиниции;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 формулирует предмет регулирования нормативного правового акта; не нумеруется.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Преамбула предваряет текст нормативного правового акта.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Структурные единицы нормативного правового акта не могут иметь преамбулу.</w:t>
      </w:r>
    </w:p>
    <w:p>
      <w:pPr>
        <w:tabs>
          <w:tab w:val="left" w:pos="82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w:t>
      </w:r>
      <w:r>
        <w:rPr>
          <w:rFonts w:ascii="Arial" w:hAnsi="Arial" w:cs="Arial" w:eastAsia="Arial"/>
          <w:color w:val="000000"/>
          <w:spacing w:val="0"/>
          <w:position w:val="0"/>
          <w:sz w:val="24"/>
          <w:shd w:fill="auto" w:val="clear"/>
        </w:rPr>
        <w:t xml:space="preserve">В нормативном правовом акте употребляются следующие структурные единицы нормативного правового акта по нисходящей: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раздел;</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подраздел;</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статья.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в нормативном правовом акте нет глав, структурная единица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раздел</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вводится.</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Возможно деление разделов крупных нормативных правовых актов на подразделы.</w:t>
      </w:r>
    </w:p>
    <w:p>
      <w:pPr>
        <w:tabs>
          <w:tab w:val="left" w:pos="883"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w:t>
      </w:r>
      <w:r>
        <w:rPr>
          <w:rFonts w:ascii="Arial" w:hAnsi="Arial" w:cs="Arial" w:eastAsia="Arial"/>
          <w:color w:val="000000"/>
          <w:spacing w:val="0"/>
          <w:position w:val="0"/>
          <w:sz w:val="24"/>
          <w:shd w:fill="auto" w:val="clear"/>
        </w:rPr>
        <w:t xml:space="preserve">Раздел нормативного правового акта: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имеет порядковый номер, обозначаемый римскими цифрами; имеет единую (сквозную) нумерацию для всего акта; имеет наименование.</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pPr>
        <w:tabs>
          <w:tab w:val="left" w:pos="883"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w:t>
      </w:r>
      <w:r>
        <w:rPr>
          <w:rFonts w:ascii="Arial" w:hAnsi="Arial" w:cs="Arial" w:eastAsia="Arial"/>
          <w:color w:val="000000"/>
          <w:spacing w:val="0"/>
          <w:position w:val="0"/>
          <w:sz w:val="24"/>
          <w:shd w:fill="auto" w:val="clear"/>
        </w:rPr>
        <w:t xml:space="preserve">Подраздел нормативного правового акта: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имеет порядковый номер, обозначаемый римскими цифрами; имеет наименование.</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pPr>
        <w:tabs>
          <w:tab w:val="left" w:pos="88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 </w:t>
      </w:r>
      <w:r>
        <w:rPr>
          <w:rFonts w:ascii="Arial" w:hAnsi="Arial" w:cs="Arial" w:eastAsia="Arial"/>
          <w:color w:val="000000"/>
          <w:spacing w:val="0"/>
          <w:position w:val="0"/>
          <w:sz w:val="24"/>
          <w:shd w:fill="auto" w:val="clear"/>
        </w:rPr>
        <w:t xml:space="preserve">Глава нормативного правового акта: нумеруется римскими цифрами; имеет наименование.</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Обозначение и наименование главы печатаются прописными буквами жирным шрифтом, без подчеркивания, по центру страницы без точки в конце одно под другим.</w:t>
      </w:r>
    </w:p>
    <w:p>
      <w:pPr>
        <w:tabs>
          <w:tab w:val="left" w:pos="87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7.</w:t>
      </w:r>
      <w:r>
        <w:rPr>
          <w:rFonts w:ascii="Arial" w:hAnsi="Arial" w:cs="Arial" w:eastAsia="Arial"/>
          <w:color w:val="000000"/>
          <w:spacing w:val="0"/>
          <w:position w:val="0"/>
          <w:sz w:val="24"/>
          <w:shd w:fill="auto" w:val="clear"/>
        </w:rPr>
        <w:t xml:space="preserve">Статья нормативного правового акта:</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является основной структурной единицей нормативного правового акта; имеет порядковый номер, обозначаемый арабскими цифрами с точкой; имеет единую (сквозную) нумерацию для всего нормативного правового акта; имеет наименование, но в исключительных случаях может его не иметь.</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Обозначение статьи печатается жирным шрифтом с прописной буквы и абзацного отступа.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статья не имеет наименования, то точка после порядкового номера статьи ставится и обозначение статьи печатается с прописной буквы и абзацного отступа жирным шрифтом.</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Структурными единицами статьи являются части, пункты, подпункты, абзацы.</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Части статей подразделяются на пункты, которые следуют после двоеточия и имеют строчные цифровые обозначения со скобкой: 1). 2), 3). после которых знак препинания не ставится. Пункты следует начинать со строчной буквы и отделять друг от друга точкой с запятой.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Подпункты следует начинать со строчной буквы и отделять друг от друга точкой с запятой.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 ,точкой с запятой, двоеточием.</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Деление частей в статье либо частей в разных статьях одного нормативного правового акта и на пункты, и па абзацы, которые в тексте частей будут следовать после двоеточия. не допускается.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Структурная единица статьи, начинающаяся арабской цифрой с точкой, арабской цифрой или строчной буквой с закрывающейся круглой скобкой и заканчивающаяся двоеточием, именуется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абзацем первым части (пункта, подпункта)</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следует нумеровать арабскими цифрами с закрывающей круглой скобкой и считать пунктами.</w:t>
      </w:r>
    </w:p>
    <w:p>
      <w:pPr>
        <w:tabs>
          <w:tab w:val="left" w:pos="85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8.</w:t>
      </w:r>
      <w:r>
        <w:rPr>
          <w:rFonts w:ascii="Arial" w:hAnsi="Arial" w:cs="Arial" w:eastAsia="Arial"/>
          <w:color w:val="000000"/>
          <w:spacing w:val="0"/>
          <w:position w:val="0"/>
          <w:sz w:val="24"/>
          <w:shd w:fill="auto" w:val="clear"/>
        </w:rPr>
        <w:t xml:space="preserve">Нормативные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 имеют наименований статей;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делятся на пункты, нумеруемые арабскими цифрами с закрывающей круглой скобкой, или на абзацы, не имеющие обозначений.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Пункты могут делиться на подпункты, обозначаемые строчными буквами русского алфавита с закрывающей круглой скобкой, и (или) абзацы.</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Подпункты могут делиться на абзацы.</w:t>
      </w:r>
    </w:p>
    <w:p>
      <w:pPr>
        <w:tabs>
          <w:tab w:val="left" w:pos="85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9.</w:t>
      </w:r>
      <w:r>
        <w:rPr>
          <w:rFonts w:ascii="Arial" w:hAnsi="Arial" w:cs="Arial" w:eastAsia="Arial"/>
          <w:color w:val="000000"/>
          <w:spacing w:val="0"/>
          <w:position w:val="0"/>
          <w:sz w:val="24"/>
          <w:shd w:fill="auto" w:val="clear"/>
        </w:rPr>
        <w:t xml:space="preserve">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внесении в него изменений и (или) признании утратившими силу структурных единиц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утратившими силу структурных единиц статьи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дополнения вносятся в конец нормативного правового акта, то необходимо продолжать имеющуюся нумерацию разделов, подразделов, глав, статей.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 изменений в статью нормативного правового акта, не производится.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признании структурной единицы нормативного правового акта, структурной единицы статьи нормативного правового акта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акта сохраняется.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pPr>
        <w:tabs>
          <w:tab w:val="left" w:pos="992" w:leader="none"/>
          <w:tab w:val="left" w:pos="2386" w:leader="underscor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10.</w:t>
      </w:r>
      <w:r>
        <w:rPr>
          <w:rFonts w:ascii="Arial" w:hAnsi="Arial" w:cs="Arial" w:eastAsia="Arial"/>
          <w:color w:val="000000"/>
          <w:spacing w:val="0"/>
          <w:position w:val="0"/>
          <w:sz w:val="24"/>
          <w:shd w:fill="auto" w:val="clear"/>
        </w:rPr>
        <w:t xml:space="preserve">В статьях о вступлении в силу нормативных правовых актов должно употребляться понятие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вступление в силу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Нормативные правовые акты вступают в силу в порядке. установленном Уставом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Ивановский сельсовет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Солнцевского района Курской области, за исключением нормативных правовых актов о налогах и сборах, которые вступают в силу в соответствии с Налоговым кодексом Российской Федерации.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При том необходимо использовать слова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вступает в силу по истечении... дней после его официального опубликования (обнародования)</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предполагается, что нормативный правовой акт должен вступить в силу через значительный промежуток времени после его официального опубликования (обнародования), следует использовать слова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вступает в силу </w:t>
      </w:r>
      <w:r>
        <w:rPr>
          <w:rFonts w:ascii="Arial" w:hAnsi="Arial" w:cs="Arial" w:eastAsia="Arial"/>
          <w:color w:val="000000"/>
          <w:spacing w:val="0"/>
          <w:position w:val="0"/>
          <w:sz w:val="24"/>
          <w:shd w:fill="auto" w:val="clear"/>
        </w:rPr>
        <w:t xml:space="preserve">«__» __________</w:t>
        <w:tab/>
        <w:t xml:space="preserve">20 </w:t>
      </w:r>
      <w:r>
        <w:rPr>
          <w:rFonts w:ascii="Arial" w:hAnsi="Arial" w:cs="Arial" w:eastAsia="Arial"/>
          <w:color w:val="000000"/>
          <w:spacing w:val="0"/>
          <w:position w:val="0"/>
          <w:sz w:val="24"/>
          <w:shd w:fill="auto" w:val="clear"/>
        </w:rPr>
        <w:t xml:space="preserve">года., но не ранее его официального опубликования (обнародования)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иное не предусмотрено федеральным законодательством.</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pPr>
        <w:tabs>
          <w:tab w:val="left" w:pos="99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11.</w:t>
      </w:r>
      <w:r>
        <w:rPr>
          <w:rFonts w:ascii="Arial" w:hAnsi="Arial" w:cs="Arial" w:eastAsia="Arial"/>
          <w:color w:val="000000"/>
          <w:spacing w:val="0"/>
          <w:position w:val="0"/>
          <w:sz w:val="24"/>
          <w:shd w:fill="auto" w:val="clear"/>
        </w:rPr>
        <w:t xml:space="preserve">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к нормативному правовому акту имеется несколько приложений, то они нумеруются арабскими цифрами с указанием знака №.</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Юридическая сила приложений и нормативного правового акта, к которому они относятся, одинакова.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Наименование приложения располагается по центру страницы. В приложения должны помещаться только те положения нормативного правового акта, которые невозможно изложить в стандартной форме статьи нормативного правового акта, но которые должны быть урегулированы на уровне нормативного правового акта.</w:t>
      </w:r>
    </w:p>
    <w:p>
      <w:pPr>
        <w:tabs>
          <w:tab w:val="left" w:pos="268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Приложение, помимо употребляемых в нормативном правовом акте структурных единиц, может иметь такие структурные единицы, как строка, графа и другие. В Приложениях, утверждающих порядки, положения и прочее, употребляются следующие структурные единицы:</w:t>
        <w:tab/>
        <w:t xml:space="preserve">разделы, подразделы, главы, пункты, подпункты, абзацы, обозначаемые и нумеруемые в порядке, предусмотренном настоящими Методическими рекомендациями для нормативного правового акта.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II</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ПОРЯДОК УПОТРЕБЛЕНИЯ ССЫЛОК</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12.</w:t>
      </w:r>
      <w:r>
        <w:rPr>
          <w:rFonts w:ascii="Arial" w:hAnsi="Arial" w:cs="Arial" w:eastAsia="Arial"/>
          <w:color w:val="000000"/>
          <w:spacing w:val="0"/>
          <w:position w:val="0"/>
          <w:sz w:val="24"/>
          <w:shd w:fill="auto" w:val="clear"/>
        </w:rPr>
        <w:t xml:space="preserve">Ссылки в статьях на другие статьи, а также на ранее принятые нормативные правовые акты применяются только в случае, если необходимо показать взаимную связь правовых норм или избежать повторений.</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13.</w:t>
      </w:r>
      <w:r>
        <w:rPr>
          <w:rFonts w:ascii="Arial" w:hAnsi="Arial" w:cs="Arial" w:eastAsia="Arial"/>
          <w:color w:val="000000"/>
          <w:spacing w:val="0"/>
          <w:position w:val="0"/>
          <w:sz w:val="24"/>
          <w:shd w:fill="auto" w:val="clear"/>
        </w:rPr>
        <w:t xml:space="preserve">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настоящих Методических рекомендаций.</w:t>
      </w:r>
    </w:p>
    <w:p>
      <w:pPr>
        <w:tabs>
          <w:tab w:val="left" w:pos="1085"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14.</w:t>
      </w:r>
      <w:r>
        <w:rPr>
          <w:rFonts w:ascii="Arial" w:hAnsi="Arial" w:cs="Arial" w:eastAsia="Arial"/>
          <w:color w:val="000000"/>
          <w:spacing w:val="0"/>
          <w:position w:val="0"/>
          <w:sz w:val="24"/>
          <w:shd w:fill="auto" w:val="clear"/>
        </w:rPr>
        <w:t xml:space="preserve">При необходимости сделать ссылку в нормативном правовом акте на</w:t>
      </w:r>
    </w:p>
    <w:p>
      <w:pPr>
        <w:tabs>
          <w:tab w:val="left" w:pos="238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нормативный правовой акт указываются следующие реквизиты в следующей последовательности:</w:t>
        <w:tab/>
        <w:t xml:space="preserve">вид нормативного правового акта, дата его подписания,</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регистрационный номер и наименование нормативного правового акта, за исключением ссылок на Конституцию Российской Федерации, при ссылке на которую указывается только ее наименование.</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отсутствии номера нормативного правового акта указываются его вид, дата подписания и наименование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Вид конкретного нормативного правового акта указывается с прописной буквы.</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принимаются одновременно нормативный правовой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15.</w:t>
      </w:r>
      <w:r>
        <w:rPr>
          <w:rFonts w:ascii="Arial" w:hAnsi="Arial" w:cs="Arial" w:eastAsia="Arial"/>
          <w:color w:val="000000"/>
          <w:spacing w:val="0"/>
          <w:position w:val="0"/>
          <w:sz w:val="24"/>
          <w:shd w:fill="auto" w:val="clear"/>
        </w:rPr>
        <w:t xml:space="preserve">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В случае невозможности введения сокращенного наименования нормативного правового акта, на который в проекте нормативного правового акта дается ссылка, или в случае внесения впоследствии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Методических рекомендаций.</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16.</w:t>
      </w:r>
      <w:r>
        <w:rPr>
          <w:rFonts w:ascii="Arial" w:hAnsi="Arial" w:cs="Arial" w:eastAsia="Arial"/>
          <w:color w:val="000000"/>
          <w:spacing w:val="0"/>
          <w:position w:val="0"/>
          <w:sz w:val="24"/>
          <w:shd w:fill="auto" w:val="clear"/>
        </w:rPr>
        <w:t xml:space="preserve">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17.</w:t>
      </w:r>
      <w:r>
        <w:rPr>
          <w:rFonts w:ascii="Arial" w:hAnsi="Arial" w:cs="Arial" w:eastAsia="Arial"/>
          <w:color w:val="000000"/>
          <w:spacing w:val="0"/>
          <w:position w:val="0"/>
          <w:sz w:val="24"/>
          <w:shd w:fill="auto" w:val="clear"/>
        </w:rPr>
        <w:t xml:space="preserve">При ссылке на кодекс дата подписания и регистрационный номер кодекса не указываются.</w:t>
      </w:r>
    </w:p>
    <w:p>
      <w:pPr>
        <w:tabs>
          <w:tab w:val="left" w:pos="93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18.</w:t>
      </w:r>
      <w:r>
        <w:rPr>
          <w:rFonts w:ascii="Arial" w:hAnsi="Arial" w:cs="Arial" w:eastAsia="Arial"/>
          <w:color w:val="000000"/>
          <w:spacing w:val="0"/>
          <w:position w:val="0"/>
          <w:sz w:val="24"/>
          <w:shd w:fill="auto" w:val="clear"/>
        </w:rPr>
        <w:t xml:space="preserve">При ссылках на конкретную статью кодекса, состоящего из нескольких частей, номер части кодекса не указывается.</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19.</w:t>
      </w:r>
      <w:r>
        <w:rPr>
          <w:rFonts w:ascii="Arial" w:hAnsi="Arial" w:cs="Arial" w:eastAsia="Arial"/>
          <w:color w:val="000000"/>
          <w:spacing w:val="0"/>
          <w:position w:val="0"/>
          <w:sz w:val="24"/>
          <w:shd w:fill="auto" w:val="clear"/>
        </w:rPr>
        <w:t xml:space="preserve">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настоящих Методических рекомендаций.</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20.</w:t>
      </w:r>
      <w:r>
        <w:rPr>
          <w:rFonts w:ascii="Arial" w:hAnsi="Arial" w:cs="Arial" w:eastAsia="Arial"/>
          <w:color w:val="000000"/>
          <w:spacing w:val="0"/>
          <w:position w:val="0"/>
          <w:sz w:val="24"/>
          <w:shd w:fill="auto" w:val="clear"/>
        </w:rPr>
        <w:t xml:space="preserve">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этом первым считается тот абзац, с которого начинается структурная единица, в составе которой он находится.</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21.</w:t>
      </w:r>
      <w:r>
        <w:rPr>
          <w:rFonts w:ascii="Arial" w:hAnsi="Arial" w:cs="Arial" w:eastAsia="Arial"/>
          <w:color w:val="000000"/>
          <w:spacing w:val="0"/>
          <w:position w:val="0"/>
          <w:sz w:val="24"/>
          <w:shd w:fill="auto" w:val="clear"/>
        </w:rPr>
        <w:t xml:space="preserve">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настоящего Решения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раздела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подраздела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настоящей главы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настоящей статьи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пункта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подпункта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абзаца</w:t>
      </w:r>
      <w:r>
        <w:rPr>
          <w:rFonts w:ascii="Arial" w:hAnsi="Arial" w:cs="Arial" w:eastAsia="Arial"/>
          <w:color w:val="000000"/>
          <w:spacing w:val="0"/>
          <w:position w:val="0"/>
          <w:sz w:val="24"/>
          <w:shd w:fill="auto" w:val="clear"/>
        </w:rPr>
        <w:t xml:space="preserve">».</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22.</w:t>
      </w:r>
      <w:r>
        <w:rPr>
          <w:rFonts w:ascii="Arial" w:hAnsi="Arial" w:cs="Arial" w:eastAsia="Arial"/>
          <w:color w:val="000000"/>
          <w:spacing w:val="0"/>
          <w:position w:val="0"/>
          <w:sz w:val="24"/>
          <w:shd w:fill="auto" w:val="clear"/>
        </w:rPr>
        <w:t xml:space="preserve">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23.</w:t>
      </w:r>
      <w:r>
        <w:rPr>
          <w:rFonts w:ascii="Arial" w:hAnsi="Arial" w:cs="Arial" w:eastAsia="Arial"/>
          <w:color w:val="000000"/>
          <w:spacing w:val="0"/>
          <w:position w:val="0"/>
          <w:sz w:val="24"/>
          <w:shd w:fill="auto" w:val="clear"/>
        </w:rPr>
        <w:t xml:space="preserve">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III</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ПОРЯДОК УКАЗАНИЯ ОФИЦИАЛЬНЫХ ИСТОЧНИКОВ ОПУБЛИКОВАНИЯ(ОБНАРОДОВАНИЯ)</w:t>
      </w:r>
    </w:p>
    <w:p>
      <w:pPr>
        <w:spacing w:before="0" w:after="0" w:line="240"/>
        <w:ind w:right="0" w:left="0" w:firstLine="0"/>
        <w:jc w:val="center"/>
        <w:rPr>
          <w:rFonts w:ascii="Arial" w:hAnsi="Arial" w:cs="Arial" w:eastAsia="Arial"/>
          <w:b/>
          <w:color w:val="000000"/>
          <w:spacing w:val="20"/>
          <w:position w:val="0"/>
          <w:sz w:val="24"/>
          <w:shd w:fill="auto" w:val="clear"/>
        </w:rPr>
      </w:pPr>
    </w:p>
    <w:p>
      <w:pPr>
        <w:tabs>
          <w:tab w:val="left" w:pos="95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24.</w:t>
      </w:r>
      <w:r>
        <w:rPr>
          <w:rFonts w:ascii="Arial" w:hAnsi="Arial" w:cs="Arial" w:eastAsia="Arial"/>
          <w:color w:val="000000"/>
          <w:spacing w:val="0"/>
          <w:position w:val="0"/>
          <w:sz w:val="24"/>
          <w:shd w:fill="auto" w:val="clear"/>
        </w:rPr>
        <w:t xml:space="preserve">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25.</w:t>
      </w:r>
      <w:r>
        <w:rPr>
          <w:rFonts w:ascii="Arial" w:hAnsi="Arial" w:cs="Arial" w:eastAsia="Arial"/>
          <w:color w:val="000000"/>
          <w:spacing w:val="0"/>
          <w:position w:val="0"/>
          <w:sz w:val="24"/>
          <w:shd w:fill="auto" w:val="clear"/>
        </w:rPr>
        <w:t xml:space="preserve">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26.</w:t>
      </w:r>
      <w:r>
        <w:rPr>
          <w:rFonts w:ascii="Arial" w:hAnsi="Arial" w:cs="Arial" w:eastAsia="Arial"/>
          <w:color w:val="000000"/>
          <w:spacing w:val="0"/>
          <w:position w:val="0"/>
          <w:sz w:val="24"/>
          <w:shd w:fill="auto" w:val="clear"/>
        </w:rPr>
        <w:t xml:space="preserve">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настоящих Методических рекомендаций источниками 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пункте 24 настоящих Методических рекомендаций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IV</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ВНЕСЕНИЕ ИЗМЕНЕНИЙ В НОРМАТИВНЫЕ ПРАВОВЫЕ АКТЫ</w:t>
      </w:r>
    </w:p>
    <w:p>
      <w:pPr>
        <w:spacing w:before="0" w:after="0" w:line="240"/>
        <w:ind w:right="0" w:left="0" w:firstLine="0"/>
        <w:jc w:val="center"/>
        <w:rPr>
          <w:rFonts w:ascii="Arial" w:hAnsi="Arial" w:cs="Arial" w:eastAsia="Arial"/>
          <w:b/>
          <w:color w:val="000000"/>
          <w:spacing w:val="20"/>
          <w:position w:val="0"/>
          <w:sz w:val="24"/>
          <w:shd w:fill="auto" w:val="clear"/>
        </w:rPr>
      </w:pPr>
    </w:p>
    <w:p>
      <w:pPr>
        <w:tabs>
          <w:tab w:val="left" w:pos="1014"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27.</w:t>
      </w:r>
      <w:r>
        <w:rPr>
          <w:rFonts w:ascii="Arial" w:hAnsi="Arial" w:cs="Arial" w:eastAsia="Arial"/>
          <w:color w:val="000000"/>
          <w:spacing w:val="0"/>
          <w:position w:val="0"/>
          <w:sz w:val="24"/>
          <w:shd w:fill="auto" w:val="clear"/>
        </w:rPr>
        <w:t xml:space="preserve">Внесением изменений считается: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замена слов, цифр;</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исключение слов, цифр, предложений;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исключение структурных единиц не вступившего в силу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новая редакция структурной единицы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дополнение структурной единицы статьи нормативного правового акта новыми словами, цифрами или предложениями;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дополнение структурными единицами нормативного правового акта;</w:t>
      </w:r>
    </w:p>
    <w:p>
      <w:pPr>
        <w:spacing w:before="0" w:after="0" w:line="240"/>
        <w:ind w:right="0" w:left="708"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приостановление действия нормативного правового акта или его структурных единиц;</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продление действия нормативного правового акта или его структурных единиц.</w:t>
      </w:r>
    </w:p>
    <w:p>
      <w:pPr>
        <w:tabs>
          <w:tab w:val="left" w:pos="98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28.</w:t>
      </w:r>
      <w:r>
        <w:rPr>
          <w:rFonts w:ascii="Arial" w:hAnsi="Arial" w:cs="Arial" w:eastAsia="Arial"/>
          <w:color w:val="000000"/>
          <w:spacing w:val="0"/>
          <w:position w:val="0"/>
          <w:sz w:val="24"/>
          <w:shd w:fill="auto" w:val="clear"/>
        </w:rPr>
        <w:t xml:space="preserve">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необходимость в нормативном правовом акте отпала, а он еще не вступил в силу, применяется термин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отменить</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располагаются в одной статье.</w:t>
      </w:r>
    </w:p>
    <w:p>
      <w:pPr>
        <w:tabs>
          <w:tab w:val="left" w:pos="98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29.</w:t>
      </w:r>
      <w:r>
        <w:rPr>
          <w:rFonts w:ascii="Arial" w:hAnsi="Arial" w:cs="Arial" w:eastAsia="Arial"/>
          <w:color w:val="000000"/>
          <w:spacing w:val="0"/>
          <w:position w:val="0"/>
          <w:sz w:val="24"/>
          <w:shd w:fill="auto" w:val="clear"/>
        </w:rPr>
        <w:t xml:space="preserve">Внесение изменений в нормативный правовой акт. структурную единицу нормативного правового акта и (или) структурную единицу статьи нормативного правового акта оформляется самостоятельным проектом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внесении изменений в структурные единицы нормативною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
    <w:p>
      <w:pPr>
        <w:tabs>
          <w:tab w:val="left" w:pos="98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30.</w:t>
      </w:r>
      <w:r>
        <w:rPr>
          <w:rFonts w:ascii="Arial" w:hAnsi="Arial" w:cs="Arial" w:eastAsia="Arial"/>
          <w:color w:val="000000"/>
          <w:spacing w:val="0"/>
          <w:position w:val="0"/>
          <w:sz w:val="24"/>
          <w:shd w:fill="auto" w:val="clear"/>
        </w:rPr>
        <w:t xml:space="preserve">Проекты нормативных правовых актов о внесении изменений, как правило, состоят из двух статьей. Статья первая проекта нормативного правового акта содержит предлагаемые изменения. Статья вторая проекта нормативного правового акта регулирует порядок его вступления в силу. В проект нормативного правового акта могут включаться иные статьи, регулирующие переходные положения.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Статьи проекта 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pPr>
        <w:tabs>
          <w:tab w:val="left" w:pos="95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31.</w:t>
      </w:r>
      <w:r>
        <w:rPr>
          <w:rFonts w:ascii="Arial" w:hAnsi="Arial" w:cs="Arial" w:eastAsia="Arial"/>
          <w:color w:val="000000"/>
          <w:spacing w:val="0"/>
          <w:position w:val="0"/>
          <w:sz w:val="24"/>
          <w:shd w:fill="auto" w:val="clear"/>
        </w:rPr>
        <w:t xml:space="preserve">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нормативного правового акта и всех нормативных правовых актов, которыми в него были внесены изменения или которыми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следующее изменение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случае внесения нескольких изменений данные слова используются во множественном числе).</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нормативного правового акта используются слова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дополнить структурной единицей (структурными единицами) следующего содержания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структурную единицу изложить в новой редакции</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32.</w:t>
      </w:r>
      <w:r>
        <w:rPr>
          <w:rFonts w:ascii="Arial" w:hAnsi="Arial" w:cs="Arial" w:eastAsia="Arial"/>
          <w:color w:val="000000"/>
          <w:spacing w:val="0"/>
          <w:position w:val="0"/>
          <w:sz w:val="24"/>
          <w:shd w:fill="auto" w:val="clear"/>
        </w:rPr>
        <w:t xml:space="preserve">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пунктами </w:t>
      </w:r>
      <w:r>
        <w:rPr>
          <w:rFonts w:ascii="Arial" w:hAnsi="Arial" w:cs="Arial" w:eastAsia="Arial"/>
          <w:color w:val="000000"/>
          <w:spacing w:val="50"/>
          <w:position w:val="0"/>
          <w:sz w:val="24"/>
          <w:shd w:fill="auto" w:val="clear"/>
        </w:rPr>
        <w:t xml:space="preserve">29-31</w:t>
      </w:r>
      <w:r>
        <w:rPr>
          <w:rFonts w:ascii="Arial" w:hAnsi="Arial" w:cs="Arial" w:eastAsia="Arial"/>
          <w:color w:val="000000"/>
          <w:spacing w:val="0"/>
          <w:position w:val="0"/>
          <w:sz w:val="24"/>
          <w:shd w:fill="auto" w:val="clear"/>
        </w:rPr>
        <w:t xml:space="preserve"> настоящих Методических рекомендаций.</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pPr>
        <w:tabs>
          <w:tab w:val="left" w:pos="95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33.</w:t>
      </w:r>
      <w:r>
        <w:rPr>
          <w:rFonts w:ascii="Arial" w:hAnsi="Arial" w:cs="Arial" w:eastAsia="Arial"/>
          <w:color w:val="000000"/>
          <w:spacing w:val="0"/>
          <w:position w:val="0"/>
          <w:sz w:val="24"/>
          <w:shd w:fill="auto" w:val="clear"/>
        </w:rPr>
        <w:t xml:space="preserve">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pPr>
        <w:tabs>
          <w:tab w:val="left" w:pos="95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34.</w:t>
      </w:r>
      <w:r>
        <w:rPr>
          <w:rFonts w:ascii="Arial" w:hAnsi="Arial" w:cs="Arial" w:eastAsia="Arial"/>
          <w:color w:val="000000"/>
          <w:spacing w:val="0"/>
          <w:position w:val="0"/>
          <w:sz w:val="24"/>
          <w:shd w:fill="auto" w:val="clear"/>
        </w:rPr>
        <w:t xml:space="preserve">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 структурных единиц в нормативный правовой акт, наименование нормативного правового акта всегда содержит только слово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изменение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соответствующем числе. Это же правило действует и в отношении оформления абзаца первого каждой статьи о внесении изменений в нормативный правовой акт или его структурные единицы.</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наименовании проекта нормативного правового акта слово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изменение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соответствующем числе поглощает понятия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дополнение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новая редакция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замена слов, цифр или предложений</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изменение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употребляется во множественном числе.</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35.</w:t>
      </w:r>
      <w:r>
        <w:rPr>
          <w:rFonts w:ascii="Arial" w:hAnsi="Arial" w:cs="Arial" w:eastAsia="Arial"/>
          <w:color w:val="000000"/>
          <w:spacing w:val="0"/>
          <w:position w:val="0"/>
          <w:sz w:val="24"/>
          <w:shd w:fill="auto" w:val="clear"/>
        </w:rPr>
        <w:t xml:space="preserve">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вносить изменения в них как до. так и после вступления в силу нормативного правового акта.</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36.</w:t>
      </w:r>
      <w:r>
        <w:rPr>
          <w:rFonts w:ascii="Arial" w:hAnsi="Arial" w:cs="Arial" w:eastAsia="Arial"/>
          <w:color w:val="000000"/>
          <w:spacing w:val="0"/>
          <w:position w:val="0"/>
          <w:sz w:val="24"/>
          <w:shd w:fill="auto" w:val="clear"/>
        </w:rPr>
        <w:t xml:space="preserve">Внесение в основной нормативный правовой акт правовых норм временного характера не допускается.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37.</w:t>
      </w:r>
      <w:r>
        <w:rPr>
          <w:rFonts w:ascii="Arial" w:hAnsi="Arial" w:cs="Arial" w:eastAsia="Arial"/>
          <w:color w:val="000000"/>
          <w:spacing w:val="0"/>
          <w:position w:val="0"/>
          <w:sz w:val="24"/>
          <w:shd w:fill="auto" w:val="clear"/>
        </w:rPr>
        <w:t xml:space="preserve">При внесении изменений в нормативные правовые акты соответствующий текст изменений заключается в кавычки.</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38.</w:t>
      </w:r>
      <w:r>
        <w:rPr>
          <w:rFonts w:ascii="Arial" w:hAnsi="Arial" w:cs="Arial" w:eastAsia="Arial"/>
          <w:color w:val="000000"/>
          <w:spacing w:val="0"/>
          <w:position w:val="0"/>
          <w:sz w:val="24"/>
          <w:shd w:fill="auto" w:val="clear"/>
        </w:rPr>
        <w:t xml:space="preserve">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39.</w:t>
      </w:r>
      <w:r>
        <w:rPr>
          <w:rFonts w:ascii="Arial" w:hAnsi="Arial" w:cs="Arial" w:eastAsia="Arial"/>
          <w:color w:val="000000"/>
          <w:spacing w:val="0"/>
          <w:position w:val="0"/>
          <w:sz w:val="24"/>
          <w:shd w:fill="auto" w:val="clear"/>
        </w:rPr>
        <w:t xml:space="preserve">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
    <w:p>
      <w:pPr>
        <w:tabs>
          <w:tab w:val="left" w:pos="97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40.</w:t>
      </w:r>
      <w:r>
        <w:rPr>
          <w:rFonts w:ascii="Arial" w:hAnsi="Arial" w:cs="Arial" w:eastAsia="Arial"/>
          <w:color w:val="000000"/>
          <w:spacing w:val="0"/>
          <w:position w:val="0"/>
          <w:sz w:val="24"/>
          <w:shd w:fill="auto" w:val="clear"/>
        </w:rPr>
        <w:t xml:space="preserve">Внесение изменений в обобщенной форме в нормативный правовой акт (в том числе замена слов и словосочетаний с использованием формулировки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 тексту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допускается.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в статье нормативного правового акта (ее структурной единице) необходимо произвести замену слова или слов в нескольких случаях и при этом никакие другие  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41.</w:t>
      </w:r>
      <w:r>
        <w:rPr>
          <w:rFonts w:ascii="Arial" w:hAnsi="Arial" w:cs="Arial" w:eastAsia="Arial"/>
          <w:color w:val="000000"/>
          <w:spacing w:val="0"/>
          <w:position w:val="0"/>
          <w:sz w:val="24"/>
          <w:shd w:fill="auto" w:val="clear"/>
        </w:rPr>
        <w:t xml:space="preserve">Если в статье нормативного правового акта (ее структурной единице)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 и падежей с единственным указанием на обозначение и порядковый номер этой структурной единицы.</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42.</w:t>
      </w:r>
      <w:r>
        <w:rPr>
          <w:rFonts w:ascii="Arial" w:hAnsi="Arial" w:cs="Arial" w:eastAsia="Arial"/>
          <w:color w:val="000000"/>
          <w:spacing w:val="0"/>
          <w:position w:val="0"/>
          <w:sz w:val="24"/>
          <w:shd w:fill="auto" w:val="clear"/>
        </w:rPr>
        <w:t xml:space="preserve">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43.</w:t>
      </w:r>
      <w:r>
        <w:rPr>
          <w:rFonts w:ascii="Arial" w:hAnsi="Arial" w:cs="Arial" w:eastAsia="Arial"/>
          <w:color w:val="000000"/>
          <w:spacing w:val="0"/>
          <w:position w:val="0"/>
          <w:sz w:val="24"/>
          <w:shd w:fill="auto" w:val="clear"/>
        </w:rPr>
        <w:t xml:space="preserve">При внесении дополнений в статью, часть статьи, пункт, подпункт, абзац указываются слова, после которых это дополнение должно находиться.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44.</w:t>
      </w:r>
      <w:r>
        <w:rPr>
          <w:rFonts w:ascii="Arial" w:hAnsi="Arial" w:cs="Arial" w:eastAsia="Arial"/>
          <w:color w:val="000000"/>
          <w:spacing w:val="0"/>
          <w:position w:val="0"/>
          <w:sz w:val="24"/>
          <w:shd w:fill="auto" w:val="clear"/>
        </w:rPr>
        <w:t xml:space="preserve">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этом знак препинания, употребленный в конце дополняемой структурной единицы, сохраняется без указания на него после внесенного дополнения.</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45.</w:t>
      </w:r>
      <w:r>
        <w:rPr>
          <w:rFonts w:ascii="Arial" w:hAnsi="Arial" w:cs="Arial" w:eastAsia="Arial"/>
          <w:color w:val="000000"/>
          <w:spacing w:val="0"/>
          <w:position w:val="0"/>
          <w:sz w:val="24"/>
          <w:shd w:fill="auto" w:val="clear"/>
        </w:rPr>
        <w:t xml:space="preserve">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Необходимая в ряде таких случаев замена знака препинания в проекте нормативного правового акта не оговаривается.</w:t>
      </w:r>
    </w:p>
    <w:p>
      <w:pPr>
        <w:tabs>
          <w:tab w:val="left" w:pos="994"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46.</w:t>
      </w:r>
      <w:r>
        <w:rPr>
          <w:rFonts w:ascii="Arial" w:hAnsi="Arial" w:cs="Arial" w:eastAsia="Arial"/>
          <w:color w:val="000000"/>
          <w:spacing w:val="0"/>
          <w:position w:val="0"/>
          <w:sz w:val="24"/>
          <w:shd w:fill="auto" w:val="clear"/>
        </w:rPr>
        <w:t xml:space="preserve">В целях сохранения структуры статьи:</w:t>
      </w:r>
    </w:p>
    <w:p>
      <w:pPr>
        <w:tabs>
          <w:tab w:val="left" w:pos="89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w:t>
      </w:r>
      <w:r>
        <w:rPr>
          <w:rFonts w:ascii="Arial" w:hAnsi="Arial" w:cs="Arial" w:eastAsia="Arial"/>
          <w:color w:val="000000"/>
          <w:spacing w:val="0"/>
          <w:position w:val="0"/>
          <w:sz w:val="24"/>
          <w:shd w:fill="auto" w:val="clear"/>
        </w:rPr>
        <w:t xml:space="preserve">дополнение абзацами может производиться только в конец соответствующей структурной единицы;</w:t>
      </w:r>
    </w:p>
    <w:p>
      <w:pPr>
        <w:tabs>
          <w:tab w:val="left" w:pos="89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w:t>
      </w:r>
      <w:r>
        <w:rPr>
          <w:rFonts w:ascii="Arial" w:hAnsi="Arial" w:cs="Arial" w:eastAsia="Arial"/>
          <w:color w:val="000000"/>
          <w:spacing w:val="0"/>
          <w:position w:val="0"/>
          <w:sz w:val="24"/>
          <w:shd w:fill="auto" w:val="clear"/>
        </w:rPr>
        <w:t xml:space="preserve">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pPr>
        <w:tabs>
          <w:tab w:val="left" w:pos="898"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3)</w:t>
      </w:r>
      <w:r>
        <w:rPr>
          <w:rFonts w:ascii="Arial" w:hAnsi="Arial" w:cs="Arial" w:eastAsia="Arial"/>
          <w:color w:val="000000"/>
          <w:spacing w:val="0"/>
          <w:position w:val="0"/>
          <w:sz w:val="24"/>
          <w:shd w:fill="auto" w:val="clear"/>
        </w:rPr>
        <w:t xml:space="preserve">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 .</w:t>
      </w:r>
    </w:p>
    <w:p>
      <w:pPr>
        <w:tabs>
          <w:tab w:val="left" w:pos="93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47.</w:t>
      </w:r>
      <w:r>
        <w:rPr>
          <w:rFonts w:ascii="Arial" w:hAnsi="Arial" w:cs="Arial" w:eastAsia="Arial"/>
          <w:color w:val="000000"/>
          <w:spacing w:val="0"/>
          <w:position w:val="0"/>
          <w:sz w:val="24"/>
          <w:shd w:fill="auto" w:val="clear"/>
        </w:rPr>
        <w:t xml:space="preserve">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необходимо внести существенные изменения в данную структурную единицу;</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неоднократно вносились изменения в текст структурной единицы нормативного правового акта, структурной единицы статьи нормативного правового акта.</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48.</w:t>
      </w:r>
      <w:r>
        <w:rPr>
          <w:rFonts w:ascii="Arial" w:hAnsi="Arial" w:cs="Arial" w:eastAsia="Arial"/>
          <w:color w:val="000000"/>
          <w:spacing w:val="0"/>
          <w:position w:val="0"/>
          <w:sz w:val="24"/>
          <w:shd w:fill="auto" w:val="clear"/>
        </w:rPr>
        <w:t xml:space="preserve">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49.</w:t>
      </w:r>
      <w:r>
        <w:rPr>
          <w:rFonts w:ascii="Arial" w:hAnsi="Arial" w:cs="Arial" w:eastAsia="Arial"/>
          <w:color w:val="000000"/>
          <w:spacing w:val="0"/>
          <w:position w:val="0"/>
          <w:sz w:val="24"/>
          <w:shd w:fill="auto" w:val="clear"/>
        </w:rPr>
        <w:t xml:space="preserve">При необходимости внести изменение в приложение, изложив его в новой редакции, текст новой редакции приложения включается в текст изменяющего проекта 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50.</w:t>
      </w:r>
      <w:r>
        <w:rPr>
          <w:rFonts w:ascii="Arial" w:hAnsi="Arial" w:cs="Arial" w:eastAsia="Arial"/>
          <w:color w:val="000000"/>
          <w:spacing w:val="0"/>
          <w:position w:val="0"/>
          <w:sz w:val="24"/>
          <w:shd w:fill="auto" w:val="clear"/>
        </w:rPr>
        <w:t xml:space="preserve">При необходимости заменить цифровые обозначения употребляется термин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цифры</w:t>
      </w:r>
      <w:r>
        <w:rPr>
          <w:rFonts w:ascii="Arial" w:hAnsi="Arial" w:cs="Arial" w:eastAsia="Arial"/>
          <w:color w:val="000000"/>
          <w:spacing w:val="0"/>
          <w:position w:val="0"/>
          <w:sz w:val="24"/>
          <w:shd w:fill="auto" w:val="clear"/>
        </w:rPr>
        <w:t xml:space="preserve">».</w:t>
      </w:r>
    </w:p>
    <w:p>
      <w:pPr>
        <w:tabs>
          <w:tab w:val="left" w:pos="984"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51.</w:t>
      </w:r>
      <w:r>
        <w:rPr>
          <w:rFonts w:ascii="Arial" w:hAnsi="Arial" w:cs="Arial" w:eastAsia="Arial"/>
          <w:color w:val="000000"/>
          <w:spacing w:val="0"/>
          <w:position w:val="0"/>
          <w:sz w:val="24"/>
          <w:shd w:fill="auto" w:val="clear"/>
        </w:rPr>
        <w:t xml:space="preserve">При необходимости заменить слова и цифры употребляется термин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слова</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требуется заменить формулу, то употребляется термин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слова</w:t>
      </w:r>
      <w:r>
        <w:rPr>
          <w:rFonts w:ascii="Arial" w:hAnsi="Arial" w:cs="Arial" w:eastAsia="Arial"/>
          <w:color w:val="000000"/>
          <w:spacing w:val="0"/>
          <w:position w:val="0"/>
          <w:sz w:val="24"/>
          <w:shd w:fill="auto" w:val="clear"/>
        </w:rPr>
        <w:t xml:space="preserve">».</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52.</w:t>
      </w:r>
      <w:r>
        <w:rPr>
          <w:rFonts w:ascii="Arial" w:hAnsi="Arial" w:cs="Arial" w:eastAsia="Arial"/>
          <w:color w:val="000000"/>
          <w:spacing w:val="0"/>
          <w:position w:val="0"/>
          <w:sz w:val="24"/>
          <w:shd w:fill="auto" w:val="clear"/>
        </w:rPr>
        <w:t xml:space="preserve">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правового акта.</w:t>
      </w:r>
    </w:p>
    <w:p>
      <w:pPr>
        <w:tabs>
          <w:tab w:val="left" w:pos="946" w:leader="none"/>
        </w:tabs>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V</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ПЕРЕЧЕНЬ НОРМАТИВНЫХ ПРАВОВЫХ АКТОВ, ПОДЛЕЖАЩИХ</w:t>
        <w:br/>
        <w:t xml:space="preserve">ПРИЗНАНИЮ УТРАТИВШИМИ СИЛУ</w:t>
      </w:r>
    </w:p>
    <w:p>
      <w:pPr>
        <w:spacing w:before="0" w:after="0" w:line="240"/>
        <w:ind w:right="0" w:left="0" w:firstLine="0"/>
        <w:jc w:val="both"/>
        <w:rPr>
          <w:rFonts w:ascii="Arial" w:hAnsi="Arial" w:cs="Arial" w:eastAsia="Arial"/>
          <w:b/>
          <w:color w:val="000000"/>
          <w:spacing w:val="20"/>
          <w:position w:val="0"/>
          <w:sz w:val="24"/>
          <w:shd w:fill="auto" w:val="clear"/>
        </w:rPr>
      </w:pP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53.</w:t>
      </w:r>
      <w:r>
        <w:rPr>
          <w:rFonts w:ascii="Arial" w:hAnsi="Arial" w:cs="Arial" w:eastAsia="Arial"/>
          <w:color w:val="000000"/>
          <w:spacing w:val="0"/>
          <w:position w:val="0"/>
          <w:sz w:val="24"/>
          <w:shd w:fill="auto" w:val="clear"/>
        </w:rPr>
        <w:t xml:space="preserve">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 чтобы стали действовать правовые нормы, которые в нем содержались, необходимо принять его заново с прежними наименованием и содержанием.</w:t>
      </w:r>
    </w:p>
    <w:p>
      <w:pPr>
        <w:tabs>
          <w:tab w:val="left" w:pos="942"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54.</w:t>
      </w:r>
      <w:r>
        <w:rPr>
          <w:rFonts w:ascii="Arial" w:hAnsi="Arial" w:cs="Arial" w:eastAsia="Arial"/>
          <w:color w:val="000000"/>
          <w:spacing w:val="0"/>
          <w:position w:val="0"/>
          <w:sz w:val="24"/>
          <w:shd w:fill="auto" w:val="clear"/>
        </w:rPr>
        <w:t xml:space="preserve">В перечень нормативных правовых актов, подлежащих признанию утратившими силу, включаются:</w:t>
      </w:r>
    </w:p>
    <w:p>
      <w:pPr>
        <w:tabs>
          <w:tab w:val="left" w:pos="93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w:t>
      </w:r>
      <w:r>
        <w:rPr>
          <w:rFonts w:ascii="Arial" w:hAnsi="Arial" w:cs="Arial" w:eastAsia="Arial"/>
          <w:color w:val="000000"/>
          <w:spacing w:val="0"/>
          <w:position w:val="0"/>
          <w:sz w:val="24"/>
          <w:shd w:fill="auto" w:val="clear"/>
        </w:rPr>
        <w:t xml:space="preserve">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pPr>
        <w:tabs>
          <w:tab w:val="left" w:pos="93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2)</w:t>
      </w:r>
      <w:r>
        <w:rPr>
          <w:rFonts w:ascii="Arial" w:hAnsi="Arial" w:cs="Arial" w:eastAsia="Arial"/>
          <w:color w:val="000000"/>
          <w:spacing w:val="0"/>
          <w:position w:val="0"/>
          <w:sz w:val="24"/>
          <w:shd w:fill="auto" w:val="clear"/>
        </w:rPr>
        <w:t xml:space="preserve">нормативные правовые акты, подлежащие признанию утратившими силу частично, то есть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pPr>
        <w:tabs>
          <w:tab w:val="left" w:pos="951"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55.</w:t>
      </w:r>
      <w:r>
        <w:rPr>
          <w:rFonts w:ascii="Arial" w:hAnsi="Arial" w:cs="Arial" w:eastAsia="Arial"/>
          <w:color w:val="000000"/>
          <w:spacing w:val="0"/>
          <w:position w:val="0"/>
          <w:sz w:val="24"/>
          <w:shd w:fill="auto" w:val="clear"/>
        </w:rPr>
        <w:t xml:space="preserve">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 В случае если признание утратившим силу нормативного правового акта (или утратившими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признании утратившими силу</w:t>
      </w:r>
      <w:r>
        <w:rPr>
          <w:rFonts w:ascii="Arial" w:hAnsi="Arial" w:cs="Arial" w:eastAsia="Arial"/>
          <w:color w:val="000000"/>
          <w:spacing w:val="0"/>
          <w:position w:val="0"/>
          <w:sz w:val="24"/>
          <w:shd w:fill="auto" w:val="clear"/>
        </w:rPr>
        <w:t xml:space="preserve">».</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их структурных единиц), ранее регулировавших данные правоотношения, утратившими силу, то в наименовании проекта нормативного правового акта такая статья не отражается.</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пунктом 33 настоящих Методических рекомендаций.</w:t>
      </w:r>
    </w:p>
    <w:p>
      <w:pPr>
        <w:tabs>
          <w:tab w:val="left" w:pos="939"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56.</w:t>
      </w:r>
      <w:r>
        <w:rPr>
          <w:rFonts w:ascii="Arial" w:hAnsi="Arial" w:cs="Arial" w:eastAsia="Arial"/>
          <w:color w:val="000000"/>
          <w:spacing w:val="0"/>
          <w:position w:val="0"/>
          <w:sz w:val="24"/>
          <w:shd w:fill="auto" w:val="clear"/>
        </w:rPr>
        <w:t xml:space="preserve">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57.</w:t>
      </w:r>
      <w:r>
        <w:rPr>
          <w:rFonts w:ascii="Arial" w:hAnsi="Arial" w:cs="Arial" w:eastAsia="Arial"/>
          <w:color w:val="000000"/>
          <w:spacing w:val="0"/>
          <w:position w:val="0"/>
          <w:sz w:val="24"/>
          <w:shd w:fill="auto" w:val="clear"/>
        </w:rPr>
        <w:t xml:space="preserve">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58.</w:t>
      </w:r>
      <w:r>
        <w:rPr>
          <w:rFonts w:ascii="Arial" w:hAnsi="Arial" w:cs="Arial" w:eastAsia="Arial"/>
          <w:color w:val="000000"/>
          <w:spacing w:val="0"/>
          <w:position w:val="0"/>
          <w:sz w:val="24"/>
          <w:shd w:fill="auto" w:val="clear"/>
        </w:rPr>
        <w:t xml:space="preserve">Каждый нормативный правовой акт включается в перечень нормативных правовых актов, подлежащих признанию утратившими силу, в виде отдельной позиции. Нормативные правовые акты, содержащиеся в гаком перечне, могут иметь порядковую нумерацию (в таком случае они считаются пунктами и нумеруются арабской цифрой с закрывающей круглой скобкой).</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59.</w:t>
      </w:r>
      <w:r>
        <w:rPr>
          <w:rFonts w:ascii="Arial" w:hAnsi="Arial" w:cs="Arial" w:eastAsia="Arial"/>
          <w:color w:val="000000"/>
          <w:spacing w:val="0"/>
          <w:position w:val="0"/>
          <w:sz w:val="24"/>
          <w:shd w:fill="auto" w:val="clear"/>
        </w:rPr>
        <w:t xml:space="preserve">Нормативные правовые акты в перечне нормативных правовых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60.</w:t>
      </w:r>
      <w:r>
        <w:rPr>
          <w:rFonts w:ascii="Arial" w:hAnsi="Arial" w:cs="Arial" w:eastAsia="Arial"/>
          <w:color w:val="000000"/>
          <w:spacing w:val="0"/>
          <w:position w:val="0"/>
          <w:sz w:val="24"/>
          <w:shd w:fill="auto" w:val="clear"/>
        </w:rPr>
        <w:t xml:space="preserve">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61.</w:t>
      </w:r>
      <w:r>
        <w:rPr>
          <w:rFonts w:ascii="Arial" w:hAnsi="Arial" w:cs="Arial" w:eastAsia="Arial"/>
          <w:color w:val="000000"/>
          <w:spacing w:val="0"/>
          <w:position w:val="0"/>
          <w:sz w:val="24"/>
          <w:shd w:fill="auto" w:val="clear"/>
        </w:rPr>
        <w:t xml:space="preserve">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62.</w:t>
      </w:r>
      <w:r>
        <w:rPr>
          <w:rFonts w:ascii="Arial" w:hAnsi="Arial" w:cs="Arial" w:eastAsia="Arial"/>
          <w:color w:val="000000"/>
          <w:spacing w:val="0"/>
          <w:position w:val="0"/>
          <w:sz w:val="24"/>
          <w:shd w:fill="auto" w:val="clear"/>
        </w:rPr>
        <w:t xml:space="preserve">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63.</w:t>
      </w:r>
      <w:r>
        <w:rPr>
          <w:rFonts w:ascii="Arial" w:hAnsi="Arial" w:cs="Arial" w:eastAsia="Arial"/>
          <w:color w:val="000000"/>
          <w:spacing w:val="0"/>
          <w:position w:val="0"/>
          <w:sz w:val="24"/>
          <w:shd w:fill="auto" w:val="clear"/>
        </w:rPr>
        <w:t xml:space="preserve">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64.</w:t>
      </w:r>
      <w:r>
        <w:rPr>
          <w:rFonts w:ascii="Arial" w:hAnsi="Arial" w:cs="Arial" w:eastAsia="Arial"/>
          <w:color w:val="000000"/>
          <w:spacing w:val="0"/>
          <w:position w:val="0"/>
          <w:sz w:val="24"/>
          <w:shd w:fill="auto" w:val="clear"/>
        </w:rPr>
        <w:t xml:space="preserve">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65.</w:t>
      </w:r>
      <w:r>
        <w:rPr>
          <w:rFonts w:ascii="Arial" w:hAnsi="Arial" w:cs="Arial" w:eastAsia="Arial"/>
          <w:color w:val="000000"/>
          <w:spacing w:val="0"/>
          <w:position w:val="0"/>
          <w:sz w:val="24"/>
          <w:shd w:fill="auto" w:val="clear"/>
        </w:rPr>
        <w:t xml:space="preserve">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
    <w:p>
      <w:pPr>
        <w:tabs>
          <w:tab w:val="left" w:pos="967"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66.</w:t>
      </w:r>
      <w:r>
        <w:rPr>
          <w:rFonts w:ascii="Arial" w:hAnsi="Arial" w:cs="Arial" w:eastAsia="Arial"/>
          <w:color w:val="000000"/>
          <w:spacing w:val="0"/>
          <w:position w:val="0"/>
          <w:sz w:val="24"/>
          <w:shd w:fill="auto" w:val="clear"/>
        </w:rPr>
        <w:t xml:space="preserve">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утратившими силу, включается этот пункт или эта статья только в части, относящейся к приложению.</w:t>
      </w:r>
    </w:p>
    <w:p>
      <w:pPr>
        <w:tabs>
          <w:tab w:val="left" w:pos="99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67.</w:t>
      </w:r>
      <w:r>
        <w:rPr>
          <w:rFonts w:ascii="Arial" w:hAnsi="Arial" w:cs="Arial" w:eastAsia="Arial"/>
          <w:color w:val="000000"/>
          <w:spacing w:val="0"/>
          <w:position w:val="0"/>
          <w:sz w:val="24"/>
          <w:shd w:fill="auto" w:val="clear"/>
        </w:rPr>
        <w:t xml:space="preserve">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pPr>
        <w:tabs>
          <w:tab w:val="left" w:pos="990" w:leader="none"/>
        </w:tabs>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Глава VI</w:t>
      </w:r>
    </w:p>
    <w:p>
      <w:pPr>
        <w:spacing w:before="0" w:after="0" w:line="240"/>
        <w:ind w:right="0" w:left="0" w:firstLine="0"/>
        <w:jc w:val="center"/>
        <w:rPr>
          <w:rFonts w:ascii="Arial" w:hAnsi="Arial" w:cs="Arial" w:eastAsia="Arial"/>
          <w:b/>
          <w:color w:val="000000"/>
          <w:spacing w:val="20"/>
          <w:position w:val="0"/>
          <w:sz w:val="24"/>
          <w:shd w:fill="auto" w:val="clear"/>
        </w:rPr>
      </w:pPr>
      <w:r>
        <w:rPr>
          <w:rFonts w:ascii="Arial" w:hAnsi="Arial" w:cs="Arial" w:eastAsia="Arial"/>
          <w:b/>
          <w:color w:val="000000"/>
          <w:spacing w:val="20"/>
          <w:position w:val="0"/>
          <w:sz w:val="24"/>
          <w:shd w:fill="auto" w:val="clear"/>
        </w:rPr>
        <w:t xml:space="preserve">ПОРЯДОК ПРИМЕНЕНИЯ НАСТОЯЩИХ РЕКОМЕНДАЦИЙ</w:t>
      </w:r>
    </w:p>
    <w:p>
      <w:pPr>
        <w:spacing w:before="0" w:after="0" w:line="240"/>
        <w:ind w:right="0" w:left="0" w:firstLine="0"/>
        <w:jc w:val="center"/>
        <w:rPr>
          <w:rFonts w:ascii="Arial" w:hAnsi="Arial" w:cs="Arial" w:eastAsia="Arial"/>
          <w:b/>
          <w:color w:val="000000"/>
          <w:spacing w:val="20"/>
          <w:position w:val="0"/>
          <w:sz w:val="24"/>
          <w:shd w:fill="auto" w:val="clear"/>
        </w:rPr>
      </w:pPr>
    </w:p>
    <w:p>
      <w:pPr>
        <w:tabs>
          <w:tab w:val="left" w:pos="99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68.</w:t>
      </w:r>
      <w:r>
        <w:rPr>
          <w:rFonts w:ascii="Arial" w:hAnsi="Arial" w:cs="Arial" w:eastAsia="Arial"/>
          <w:color w:val="000000"/>
          <w:spacing w:val="0"/>
          <w:position w:val="0"/>
          <w:sz w:val="24"/>
          <w:shd w:fill="auto" w:val="clear"/>
        </w:rPr>
        <w:t xml:space="preserve">Проекты нормативных правовых актов, устанавливающие новое правовое регулирование, оформляются в соответствии с Методическими рекомендациями.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нормативные правовые акты, подготовка которых к рассмотрению Собрание депутатов Зуевского сельсовета Солнцевского района  осуществлялась в соответствии с Методическими рекомендациями, изменения вносятся также в соответствии с Методическими рекомендациями.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Признание утратившими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Методическими рекомендациями.</w:t>
      </w:r>
    </w:p>
    <w:p>
      <w:pPr>
        <w:spacing w:before="0" w:after="0" w:line="240"/>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69.</w:t>
      </w:r>
      <w:r>
        <w:rPr>
          <w:rFonts w:ascii="Arial" w:hAnsi="Arial" w:cs="Arial" w:eastAsia="Arial"/>
          <w:color w:val="000000"/>
          <w:spacing w:val="0"/>
          <w:position w:val="0"/>
          <w:sz w:val="24"/>
          <w:shd w:fill="auto" w:val="clear"/>
        </w:rPr>
        <w:t xml:space="preserve">На нормативные правовые акты, которые были приняты до утверждения Методических рекомендаций, но не противоречат им, также распространяется действие Методических рекомендаций.</w:t>
      </w:r>
    </w:p>
    <w:p>
      <w:pPr>
        <w:tabs>
          <w:tab w:val="left" w:pos="990" w:leader="none"/>
        </w:tabs>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70.</w:t>
      </w:r>
      <w:r>
        <w:rPr>
          <w:rFonts w:ascii="Arial" w:hAnsi="Arial" w:cs="Arial" w:eastAsia="Arial"/>
          <w:color w:val="000000"/>
          <w:spacing w:val="0"/>
          <w:position w:val="0"/>
          <w:sz w:val="24"/>
          <w:shd w:fill="auto" w:val="clear"/>
        </w:rPr>
        <w:t xml:space="preserve">Ранее принятые нормативные правовые акты, не полностью отвечающие требованиям настоящих Методических рекомендаций, должны быть приведены в соответствие с ними по мере внесения изменений в такие нормативные правовые акты. До этого в отношении ранее принятых нормативных правовых актов, не полностью отвечающих требованиям настоящих Методических рекомендаций, они будут применяться в той части, в которой это допустимо без изменения или нарушения их формы и содержания.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