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</w:t>
      </w:r>
      <w:r>
        <w:object w:dxaOrig="1902" w:dyaOrig="1837">
          <v:rect xmlns:o="urn:schemas-microsoft-com:office:office" xmlns:v="urn:schemas-microsoft-com:vml" id="rectole0000000000" style="width:95.100000pt;height:9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от  января 2017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                                                                                                    Проект                       с.Зуевка </w:t>
      </w:r>
    </w:p>
    <w:p>
      <w:pPr>
        <w:spacing w:before="160" w:after="160" w:line="240"/>
        <w:ind w:right="0" w:left="0" w:firstLine="0"/>
        <w:jc w:val="left"/>
        <w:rPr>
          <w:rFonts w:ascii="Arial" w:hAnsi="Arial" w:cs="Arial" w:eastAsia="Arial"/>
          <w:color w:val="0E2F43"/>
          <w:spacing w:val="0"/>
          <w:position w:val="0"/>
          <w:sz w:val="15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E2F43"/>
          <w:spacing w:val="0"/>
          <w:position w:val="0"/>
          <w:sz w:val="24"/>
          <w:shd w:fill="FFFFFF" w:val="clear"/>
        </w:rPr>
        <w:t xml:space="preserve">Об установлении предельного уровня                                                                           соотношения среднемесячной заработной                                                                        платы руководителей, их заместителей,                                                                           главных бухгалтеров  и среднемесячной                                                                       заработной платы работников (без учета                                                                     заработной платы руководителя, его                                                                         заместителей, главного бухгалтера)                                                                    муниципальных учреждений, муниципальных                                                            унитарных предприятий Зуевского сельсовета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E2F4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со ст. 145, 349.5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2016 год, утвержденных решением Российской трехсторонней комиссии по регулированию социально-трудовых отношений от 25.12.2015, в целях создания прозрачного механизма оплаты труда руководителей, их заместителей, главных бухгалтеров муниципальных учреждений, муниципальных унитарных предприятий Зуевского сельсовета,  Администрация Зуевского сельсовета ПОСТАНОВЛЯЕТ: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 и средней месячной заработной платы работников (без учета заработной платы руководителя, заместителей руководителя, главного бухгалтера)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муниципальных учреждений, муниципальных унитарных предприятий Зуевского сельсовета в кратности до 4.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Утвердить прилагаемый Порядок расчета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и средней месячной заработной платы работников (без учета заработной платы руководителя, заместителей руководителя, главного бухгалтера)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муниципальных учреждений, муниципальных унитарных предприятий Зуевского сельсовета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Зуевского сельсовета   в информационно-телекоммуникационной сети Интернет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Разместить настоящее постановление на официальном сайте администрации Зуевского сельсовета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Настоящее постановление вступает в силу с 01.01.2017.</w:t>
      </w:r>
    </w:p>
    <w:p>
      <w:pPr>
        <w:spacing w:before="16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16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Глава Зуевского сельсовета :                                               А.И.Панин</w:t>
      </w:r>
    </w:p>
    <w:p>
      <w:pPr>
        <w:spacing w:before="16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160" w:after="16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E2F4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Утвержден                                                                                                                   постановлением Администрации                                                                                            Зуевского сельсовета </w:t>
      </w:r>
    </w:p>
    <w:p>
      <w:pPr>
        <w:spacing w:before="16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_____ 2017 г. № __</w:t>
      </w:r>
    </w:p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расчета соотношения среднемесячной заработной платы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руководителей, их заместителей, главных бухгалтеров муниципальных учреждений, муниципальных унитарных предприятий и средней месячной заработной платы работников (без учета заработной платы руководителя, заместителей руководителя, главного бухгалтера)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муниципальных учреждений, муниципальных унитарных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                        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 и средней месячной заработной платы работников (без учета заработной платы руководителя, заместителей руководителя, главного бухгалтера)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муниципальных учреждений, муниципальных унитарных предприятий Зуевского сельсовета.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учреждений, муниципальных унитарных предприятий  производится по итогам календарного года.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расчете соотношения среднемесячной заработной платы руководителя муниципального учреждения, муниципального унитарного предприятия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руководителю, заместителю руководителя и главному бухгалтеру.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Расчет соотношения среднемесячной заработной платы руководителя, его заместителя и главного бухгалтера и среднемесячной заработной платы работников этого муниципального учреждения,  муниципального унитарного предприятия производится отдельно по должностям руководителя, заместителя руководителя и главного бухгалтера.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случаях выполнения работы руководителем, заместителем руководителя, главным бухгалтером по совмещению профессий (должностей), при расчете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среднемесячной заработной платы и среднемесячной заработной платы работников муниципального учреждения, муниципального унитарного предприятия учитывается фактически начисленная заработная плата как по основной работе, так и при совмещении профессий (должностей) в целом.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работе заместителем руководителя, главным бухгалтером по совместительству при расчете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среднемесячной заработной платы работников муниципального учреждения, муниципального унитарного предприятия учитывается только фактически начисленная заработная плата по должностям заместителя руководителя, главного бухгалтера.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расчете среднемесячной заработной платы работников муниципального учреждения, муниципального унитарного предприятия учитываются: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 муниципального учреждения, муниципального унитарного предприятия.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Среднемесячная заработная плата работников муниципального учреждения, муниципального унитарного предприятия 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Среднемесячная заработная плата руководителя муниципального учреждения, муниципального унитарного предприятия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 если руководитель муниципального учреждения, муниципального унитарного предприятия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Соотношение среднемесячной заработной платы руководителя муниципального учреждения, муниципального унитарного предприятия  и среднемесячной заработной платы работников муниципального учреждения, муниципального унитарного предприятия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5 настоящего Порядка.</w:t>
      </w:r>
    </w:p>
    <w:p>
      <w:pPr>
        <w:spacing w:before="1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Аналогичным образом рассчитывается соотношение среднемесячной заработной платой платы заместителя руководителя, главного бухгалтера муниципального учреждения, муниципального унитарного предприятия и среднемесячной заработной платы работников муниципального учреждения, муниципального унитарного предприятия.</w:t>
      </w:r>
    </w:p>
    <w:p>
      <w:pPr>
        <w:spacing w:before="16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Утвержден                                                                                                                   постановлением Администрации                                                                                            Зуевского сельсовета </w:t>
      </w:r>
    </w:p>
    <w:p>
      <w:pPr>
        <w:spacing w:before="16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_____ 2017 г. № __</w:t>
      </w:r>
    </w:p>
    <w:p>
      <w:pPr>
        <w:spacing w:before="16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Порядок                                                                                                                            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в информационно-телекоммуникационной сети Интернет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 информационно-телекоммуникационной сети Интернет (далее – Порядок) определяет процедуру размещения вышеназванной информации в информационно-телекоммуникационной сети Интернет.</w:t>
      </w:r>
    </w:p>
    <w:p>
      <w:pPr>
        <w:spacing w:before="18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размещается в информационно-телекоммуникационной сети "Интернет" на официальных сайтах органов местного самоуправления Зуевского сельсовета, осуществляющих функции и полномочия учредителя соответствующих учреждений, предприятий. </w:t>
      </w:r>
    </w:p>
    <w:p>
      <w:pPr>
        <w:spacing w:before="18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Информация, предусмотренная частью второй может по решению органов местного самоуправления Зуевского сельсовета, осуществляющих функции и полномочия учредителя указанных в части второй муниципальных учреждений, муниципальных унитарных предприятий, размещаться в информационно-телекоммуникационной сети "Интернет" на официальных сайтах указанных учреждений, предприятий.</w:t>
      </w:r>
    </w:p>
    <w:p>
      <w:pPr>
        <w:spacing w:before="180" w:after="1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Муниципальные учреждения, муниципальные унитарные предприятия представляет информацию органам местного самоуправления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осуществляющим отдельные функции и полномочия учредителей муниципальных учреждений, муниципальных унитарных предприятий до 10 марта года, следующего за отчетным.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Учредитель направляет информацию, представленную ему подведомственными муниципальными учреждениями, муниципальными унитарными предприятиями в адрес Главы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до 20 марта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года, следующего за отчетным.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Информация размещается на сайте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до 1 апреля года, следующего за отчетным, по форме согласно приложению к настоящему Порядку.</w:t>
      </w:r>
    </w:p>
    <w:p>
      <w:pPr>
        <w:spacing w:before="100" w:after="0" w:line="245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Приложение                                                                                                                                         к Порядку размещения информации                                                                                                о среднемесячной заработной плате                                                                           руководителей, их заместителей и                                                                                         главных бухгалтеров муниципальных                                                                            учреждений, муниципальных унитарных                                                                        предприятий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 информационно -                                                                 телекоммуникационной сети Интернет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100" w:after="0" w:line="245"/>
        <w:ind w:right="0" w:left="0" w:firstLine="42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0" w:line="245"/>
        <w:ind w:right="0" w:left="0" w:firstLine="42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0" w:line="245"/>
        <w:ind w:right="0" w:left="0" w:firstLine="42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0" w:line="2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Информация                                                                                                                                         о среднемесячной заработной плате руководителей, их заместителей и главных бухгалтеров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___________________________________________________________________________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наименование муниципального учреждения, муниципального унитарного предприятия)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 20___ год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817"/>
        <w:gridCol w:w="3855"/>
        <w:gridCol w:w="2336"/>
        <w:gridCol w:w="2337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Среднемесячная заработная плата (руб.)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92" w:after="192" w:line="32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