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200" w:line="276"/>
        <w:ind w:right="0" w:left="0" w:firstLine="0"/>
        <w:jc w:val="center"/>
        <w:rPr>
          <w:rFonts w:ascii="Arial" w:hAnsi="Arial" w:cs="Arial" w:eastAsia="Arial"/>
          <w:color w:val="auto"/>
          <w:spacing w:val="0"/>
          <w:position w:val="0"/>
          <w:sz w:val="32"/>
          <w:shd w:fill="auto" w:val="clear"/>
        </w:rPr>
      </w:pPr>
      <w:r>
        <w:rPr>
          <w:rFonts w:ascii="Calibri" w:hAnsi="Calibri" w:cs="Calibri" w:eastAsia="Calibri"/>
          <w:color w:val="auto"/>
          <w:spacing w:val="0"/>
          <w:position w:val="0"/>
          <w:sz w:val="22"/>
          <w:shd w:fill="auto" w:val="clear"/>
        </w:rPr>
        <w:t xml:space="preserve"> </w:t>
      </w:r>
    </w:p>
    <w:p>
      <w:pPr>
        <w:keepNext w:val="true"/>
        <w:numPr>
          <w:ilvl w:val="0"/>
          <w:numId w:val="2"/>
        </w:numPr>
        <w:tabs>
          <w:tab w:val="left" w:pos="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СОБРАНИЕ ДЕПУТАТОВ</w:t>
      </w:r>
    </w:p>
    <w:p>
      <w:pPr>
        <w:keepNext w:val="true"/>
        <w:numPr>
          <w:ilvl w:val="0"/>
          <w:numId w:val="2"/>
        </w:numPr>
        <w:tabs>
          <w:tab w:val="left" w:pos="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keepNext w:val="true"/>
        <w:numPr>
          <w:ilvl w:val="0"/>
          <w:numId w:val="2"/>
        </w:numPr>
        <w:tabs>
          <w:tab w:val="left" w:pos="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КУРСКОЙ ОБЛАСТИ</w:t>
      </w:r>
    </w:p>
    <w:p>
      <w:pPr>
        <w:suppressAutoHyphens w:val="true"/>
        <w:spacing w:before="0" w:after="0" w:line="240"/>
        <w:ind w:right="0" w:left="0" w:firstLine="0"/>
        <w:jc w:val="center"/>
        <w:rPr>
          <w:rFonts w:ascii="Arial" w:hAnsi="Arial" w:cs="Arial" w:eastAsia="Arial"/>
          <w:color w:val="auto"/>
          <w:spacing w:val="0"/>
          <w:position w:val="0"/>
          <w:sz w:val="32"/>
          <w:shd w:fill="auto" w:val="clear"/>
        </w:rPr>
      </w:pPr>
    </w:p>
    <w:p>
      <w:pPr>
        <w:keepNext w:val="true"/>
        <w:numPr>
          <w:ilvl w:val="0"/>
          <w:numId w:val="4"/>
        </w:numPr>
        <w:tabs>
          <w:tab w:val="left" w:pos="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РЕШЕНИЕ</w:t>
      </w:r>
    </w:p>
    <w:p>
      <w:pPr>
        <w:keepNext w:val="true"/>
        <w:numPr>
          <w:ilvl w:val="0"/>
          <w:numId w:val="4"/>
        </w:numPr>
        <w:tabs>
          <w:tab w:val="left" w:pos="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От 10 марта  2023   года № 12/3</w:t>
      </w:r>
    </w:p>
    <w:p>
      <w:pPr>
        <w:suppressAutoHyphens w:val="true"/>
        <w:spacing w:before="0" w:after="0" w:line="240"/>
        <w:ind w:right="0" w:left="0" w:firstLine="0"/>
        <w:jc w:val="center"/>
        <w:rPr>
          <w:rFonts w:ascii="Arial" w:hAnsi="Arial" w:cs="Arial" w:eastAsia="Arial"/>
          <w:color w:val="auto"/>
          <w:spacing w:val="0"/>
          <w:position w:val="0"/>
          <w:sz w:val="32"/>
          <w:shd w:fill="auto" w:val="clear"/>
        </w:rPr>
      </w:pPr>
    </w:p>
    <w:p>
      <w:pPr>
        <w:tabs>
          <w:tab w:val="left" w:pos="9360" w:leader="none"/>
        </w:tabs>
        <w:suppressAutoHyphens w:val="true"/>
        <w:spacing w:before="0" w:after="0" w:line="240"/>
        <w:ind w:right="-5"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О проведении публичных слушаний</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по утверждению годового отчета за 2022 год</w:t>
      </w:r>
      <w:r>
        <w:rPr>
          <w:rFonts w:ascii="Arial" w:hAnsi="Arial" w:cs="Arial" w:eastAsia="Arial"/>
          <w:b/>
          <w:color w:val="auto"/>
          <w:spacing w:val="0"/>
          <w:position w:val="0"/>
          <w:sz w:val="32"/>
          <w:shd w:fill="auto" w:val="clear"/>
        </w:rPr>
        <w:t xml:space="preserve">»</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Собрание депутатов Зуевского    сельсовета Солнцевского района РЕШИЛО:</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прилагаемый Временный порядок проведения публичных слушаний по утверждению годового отчета за 2022 год по Администрации Зуевского   сельсовета.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Обнародовать Временный порядок проведения публичных слушаний по утверждению годового отчета за 2022 год по Администрации Зуевского   сельсовета,  на  информационных стендах, расположенных:</w:t>
      </w:r>
    </w:p>
    <w:p>
      <w:pPr>
        <w:spacing w:before="0" w:after="0" w:line="240"/>
        <w:ind w:right="0" w:left="1428" w:hanging="111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1)</w:t>
      </w: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здании МКУК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ЦСДК</w:t>
      </w:r>
      <w:r>
        <w:rPr>
          <w:rFonts w:ascii="Arial" w:hAnsi="Arial" w:cs="Arial" w:eastAsia="Arial"/>
          <w:color w:val="auto"/>
          <w:spacing w:val="0"/>
          <w:position w:val="0"/>
          <w:sz w:val="24"/>
          <w:shd w:fill="auto" w:val="clear"/>
        </w:rPr>
        <w:t xml:space="preserve">»; </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color w:val="auto"/>
          <w:spacing w:val="0"/>
          <w:position w:val="0"/>
          <w:sz w:val="24"/>
          <w:shd w:fill="auto" w:val="clear"/>
        </w:rPr>
        <w:t xml:space="preserve">в здании Б.Княжевского  СК;</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color w:val="auto"/>
          <w:spacing w:val="0"/>
          <w:position w:val="0"/>
          <w:sz w:val="24"/>
          <w:shd w:fill="auto" w:val="clear"/>
        </w:rPr>
        <w:t xml:space="preserve">в здании МКУК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Дежевская сельская библиотека </w:t>
      </w:r>
      <w:r>
        <w:rPr>
          <w:rFonts w:ascii="Arial" w:hAnsi="Arial" w:cs="Arial" w:eastAsia="Arial"/>
          <w:color w:val="auto"/>
          <w:spacing w:val="0"/>
          <w:position w:val="0"/>
          <w:sz w:val="24"/>
          <w:shd w:fill="auto" w:val="clear"/>
        </w:rPr>
        <w:t xml:space="preserve">».</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color w:val="auto"/>
          <w:spacing w:val="0"/>
          <w:position w:val="0"/>
          <w:sz w:val="24"/>
          <w:shd w:fill="auto" w:val="clear"/>
        </w:rPr>
        <w:t xml:space="preserve">в  здании Выползовского  сельского  клуба</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color w:val="auto"/>
          <w:spacing w:val="0"/>
          <w:position w:val="0"/>
          <w:sz w:val="24"/>
          <w:shd w:fill="auto" w:val="clear"/>
        </w:rPr>
        <w:t xml:space="preserve">в  здании Гридасовског  ДК</w:t>
      </w:r>
    </w:p>
    <w:p>
      <w:pPr>
        <w:spacing w:before="0" w:after="0" w:line="240"/>
        <w:ind w:right="0" w:left="1428" w:hanging="11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w:t>
        <w:tab/>
      </w:r>
      <w:r>
        <w:rPr>
          <w:rFonts w:ascii="Arial" w:hAnsi="Arial" w:cs="Arial" w:eastAsia="Arial"/>
          <w:color w:val="auto"/>
          <w:spacing w:val="0"/>
          <w:position w:val="0"/>
          <w:sz w:val="24"/>
          <w:shd w:fill="auto" w:val="clear"/>
        </w:rPr>
        <w:t xml:space="preserve">в здании Дежевского ДК.</w:t>
      </w:r>
      <w:r>
        <w:rPr>
          <w:rFonts w:ascii="Arial" w:hAnsi="Arial" w:cs="Arial" w:eastAsia="Arial"/>
          <w:color w:val="auto"/>
          <w:spacing w:val="0"/>
          <w:position w:val="0"/>
          <w:sz w:val="24"/>
          <w:shd w:fill="auto" w:val="clear"/>
        </w:rPr>
        <w:t xml:space="preserve">», </w:t>
      </w:r>
    </w:p>
    <w:p>
      <w:pPr>
        <w:spacing w:before="0" w:after="0" w:line="240"/>
        <w:ind w:right="0" w:left="1428" w:hanging="11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7)</w:t>
        <w:tab/>
      </w:r>
      <w:r>
        <w:rPr>
          <w:rFonts w:ascii="Arial" w:hAnsi="Arial" w:cs="Arial" w:eastAsia="Arial"/>
          <w:color w:val="auto"/>
          <w:spacing w:val="0"/>
          <w:position w:val="0"/>
          <w:sz w:val="24"/>
          <w:shd w:fill="auto" w:val="clear"/>
        </w:rPr>
        <w:t xml:space="preserve">в здании  Администрации Зуевского    сельсовета;</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Провести публичные слушания по утверждению годового отчета за 2022 год по Администрации Зуевского   сельсовета, 17 марта 2023 года в 14 час. 00 мин. по адресу: Курская область, Солнцевский район, с. Зуевка, улица Центральная  дом 4.</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Настоящее Решение обнародовать на указанных в п.2 информационных стендах.</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Собрания депутатов </w:t>
      </w: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w:t>
      </w: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 </w:t>
        <w:tab/>
        <w:tab/>
        <w:tab/>
        <w:tab/>
        <w:tab/>
        <w:t xml:space="preserve">        Е.А.Муханова</w:t>
      </w: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Зуевского   сельсовета     </w:t>
      </w: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Солнцевского района</w:t>
        <w:tab/>
        <w:tab/>
        <w:t xml:space="preserve"> </w:t>
        <w:tab/>
        <w:tab/>
        <w:tab/>
        <w:t xml:space="preserve">       М.А.Стрекалова</w:t>
      </w: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p>
    <w:p>
      <w:pPr>
        <w:tabs>
          <w:tab w:val="left" w:pos="708" w:leader="none"/>
        </w:tabs>
        <w:suppressAutoHyphens w:val="true"/>
        <w:spacing w:before="0" w:after="0" w:line="240"/>
        <w:ind w:right="0" w:left="0" w:firstLine="567"/>
        <w:jc w:val="left"/>
        <w:rPr>
          <w:rFonts w:ascii="Arial" w:hAnsi="Arial" w:cs="Arial" w:eastAsia="Arial"/>
          <w:color w:val="auto"/>
          <w:spacing w:val="0"/>
          <w:position w:val="0"/>
          <w:sz w:val="24"/>
          <w:shd w:fill="auto" w:val="clear"/>
        </w:rPr>
      </w:pPr>
    </w:p>
    <w:p>
      <w:pPr>
        <w:suppressAutoHyphens w:val="true"/>
        <w:spacing w:before="0" w:after="0" w:line="240"/>
        <w:ind w:right="0" w:left="0" w:firstLine="708"/>
        <w:jc w:val="right"/>
        <w:rPr>
          <w:rFonts w:ascii="Arial" w:hAnsi="Arial" w:cs="Arial" w:eastAsia="Arial"/>
          <w:color w:val="auto"/>
          <w:spacing w:val="0"/>
          <w:position w:val="0"/>
          <w:sz w:val="24"/>
          <w:shd w:fill="auto" w:val="clear"/>
        </w:rPr>
      </w:pPr>
    </w:p>
    <w:p>
      <w:pPr>
        <w:suppressAutoHyphens w:val="true"/>
        <w:spacing w:before="0" w:after="0" w:line="240"/>
        <w:ind w:right="0" w:left="0" w:firstLine="708"/>
        <w:jc w:val="right"/>
        <w:rPr>
          <w:rFonts w:ascii="Arial" w:hAnsi="Arial" w:cs="Arial" w:eastAsia="Arial"/>
          <w:color w:val="auto"/>
          <w:spacing w:val="0"/>
          <w:position w:val="0"/>
          <w:sz w:val="24"/>
          <w:shd w:fill="auto" w:val="clear"/>
        </w:rPr>
      </w:pPr>
    </w:p>
    <w:p>
      <w:pPr>
        <w:suppressAutoHyphens w:val="true"/>
        <w:spacing w:before="0" w:after="0" w:line="240"/>
        <w:ind w:right="0" w:left="0" w:firstLine="708"/>
        <w:jc w:val="right"/>
        <w:rPr>
          <w:rFonts w:ascii="Arial" w:hAnsi="Arial" w:cs="Arial" w:eastAsia="Arial"/>
          <w:color w:val="auto"/>
          <w:spacing w:val="0"/>
          <w:position w:val="0"/>
          <w:sz w:val="24"/>
          <w:shd w:fill="auto" w:val="clear"/>
        </w:rPr>
      </w:pP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Утвержден решением Собрания депутатов</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Зуевского   сельсовета Солнцевского  района</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Курской области От 10 марта  2023   года № 12/3</w:t>
      </w:r>
    </w:p>
    <w:p>
      <w:pPr>
        <w:suppressAutoHyphens w:val="true"/>
        <w:spacing w:before="0" w:after="0" w:line="240"/>
        <w:ind w:right="0" w:left="0" w:firstLine="0"/>
        <w:jc w:val="right"/>
        <w:rPr>
          <w:rFonts w:ascii="Arial" w:hAnsi="Arial" w:cs="Arial" w:eastAsia="Arial"/>
          <w:color w:val="auto"/>
          <w:spacing w:val="0"/>
          <w:position w:val="0"/>
          <w:sz w:val="24"/>
          <w:shd w:fill="auto" w:val="clear"/>
        </w:rPr>
      </w:pPr>
    </w:p>
    <w:p>
      <w:pPr>
        <w:suppressAutoHyphens w:val="true"/>
        <w:spacing w:before="0" w:after="0" w:line="240"/>
        <w:ind w:right="0" w:left="0" w:firstLine="0"/>
        <w:jc w:val="right"/>
        <w:rPr>
          <w:rFonts w:ascii="Arial" w:hAnsi="Arial" w:cs="Arial" w:eastAsia="Arial"/>
          <w:color w:val="auto"/>
          <w:spacing w:val="0"/>
          <w:position w:val="0"/>
          <w:sz w:val="24"/>
          <w:shd w:fill="auto" w:val="clear"/>
        </w:rPr>
      </w:pPr>
    </w:p>
    <w:p>
      <w:pPr>
        <w:suppressAutoHyphens w:val="true"/>
        <w:spacing w:before="0" w:after="0" w:line="240"/>
        <w:ind w:right="0" w:left="0" w:firstLine="0"/>
        <w:jc w:val="right"/>
        <w:rPr>
          <w:rFonts w:ascii="Arial" w:hAnsi="Arial" w:cs="Arial" w:eastAsia="Arial"/>
          <w:b/>
          <w:color w:val="auto"/>
          <w:spacing w:val="0"/>
          <w:position w:val="0"/>
          <w:sz w:val="24"/>
          <w:shd w:fill="auto" w:val="clear"/>
        </w:rPr>
      </w:pP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Временный порядок</w:t>
      </w:r>
    </w:p>
    <w:p>
      <w:pPr>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проведения публичных слушаний по утверждению годового отчета за 2022 год по Администрации Зуевского   сельсовета</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Настоящий Порядок разработан в соответствии с Федеральным законом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общих принципах организации местного самоуправления в Российской Федерации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регулирует вопросы проведения публичных слушаний по утверждению годового отчета за 2022 год по Администрации Зуевского   сельсовета </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Публичные слушания по утверждению годового отчета за 2022 год по Администрации Зуевского   сельсовета,  являются одним из способов непосредственного участия граждан в осуществлении местного самоуправления.</w:t>
      </w:r>
    </w:p>
    <w:p>
      <w:pPr>
        <w:suppressAutoHyphens w:val="true"/>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Решение о проведении публичных слушаний, включающее информацию о месте и времени проведения публичных слушаний, принимает Собрание депутатов Зуевского   сельсовета Солнцевского района. Данное решение подлежит обнародованию на информационных стендах, расположенных:</w:t>
      </w:r>
    </w:p>
    <w:p>
      <w:pPr>
        <w:spacing w:before="0" w:after="0" w:line="240"/>
        <w:ind w:right="0" w:left="1428" w:hanging="1110"/>
        <w:jc w:val="both"/>
        <w:rPr>
          <w:rFonts w:ascii="Arial" w:hAnsi="Arial" w:cs="Arial" w:eastAsia="Arial"/>
          <w:color w:val="auto"/>
          <w:spacing w:val="0"/>
          <w:position w:val="0"/>
          <w:sz w:val="24"/>
          <w:shd w:fill="auto" w:val="clear"/>
        </w:rPr>
      </w:pP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 1)</w:t>
      </w: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здании МКУК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Зуевский ЦСДК</w:t>
      </w:r>
      <w:r>
        <w:rPr>
          <w:rFonts w:ascii="Arial" w:hAnsi="Arial" w:cs="Arial" w:eastAsia="Arial"/>
          <w:color w:val="auto"/>
          <w:spacing w:val="0"/>
          <w:position w:val="0"/>
          <w:sz w:val="24"/>
          <w:shd w:fill="auto" w:val="clear"/>
        </w:rPr>
        <w:t xml:space="preserve">»; </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w:t>
        <w:tab/>
      </w:r>
      <w:r>
        <w:rPr>
          <w:rFonts w:ascii="Arial" w:hAnsi="Arial" w:cs="Arial" w:eastAsia="Arial"/>
          <w:color w:val="auto"/>
          <w:spacing w:val="0"/>
          <w:position w:val="0"/>
          <w:sz w:val="24"/>
          <w:shd w:fill="auto" w:val="clear"/>
        </w:rPr>
        <w:t xml:space="preserve">в здании Б.Княжевского  СК;</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w:t>
        <w:tab/>
      </w:r>
      <w:r>
        <w:rPr>
          <w:rFonts w:ascii="Arial" w:hAnsi="Arial" w:cs="Arial" w:eastAsia="Arial"/>
          <w:color w:val="auto"/>
          <w:spacing w:val="0"/>
          <w:position w:val="0"/>
          <w:sz w:val="24"/>
          <w:shd w:fill="auto" w:val="clear"/>
        </w:rPr>
        <w:t xml:space="preserve">в здании МКУК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Дежевская сельская библиотека </w:t>
      </w:r>
      <w:r>
        <w:rPr>
          <w:rFonts w:ascii="Arial" w:hAnsi="Arial" w:cs="Arial" w:eastAsia="Arial"/>
          <w:color w:val="auto"/>
          <w:spacing w:val="0"/>
          <w:position w:val="0"/>
          <w:sz w:val="24"/>
          <w:shd w:fill="auto" w:val="clear"/>
        </w:rPr>
        <w:t xml:space="preserve">».</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w:t>
        <w:tab/>
      </w:r>
      <w:r>
        <w:rPr>
          <w:rFonts w:ascii="Arial" w:hAnsi="Arial" w:cs="Arial" w:eastAsia="Arial"/>
          <w:color w:val="auto"/>
          <w:spacing w:val="0"/>
          <w:position w:val="0"/>
          <w:sz w:val="24"/>
          <w:shd w:fill="auto" w:val="clear"/>
        </w:rPr>
        <w:t xml:space="preserve">в  здании Выползовского  сельского  клуба</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w:t>
        <w:tab/>
      </w:r>
      <w:r>
        <w:rPr>
          <w:rFonts w:ascii="Arial" w:hAnsi="Arial" w:cs="Arial" w:eastAsia="Arial"/>
          <w:color w:val="auto"/>
          <w:spacing w:val="0"/>
          <w:position w:val="0"/>
          <w:sz w:val="24"/>
          <w:shd w:fill="auto" w:val="clear"/>
        </w:rPr>
        <w:t xml:space="preserve">в  здании Гридасовског  ДК</w:t>
      </w:r>
    </w:p>
    <w:p>
      <w:pPr>
        <w:spacing w:before="0" w:after="0" w:line="240"/>
        <w:ind w:right="0" w:left="1428" w:hanging="11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w:t>
        <w:tab/>
      </w:r>
      <w:r>
        <w:rPr>
          <w:rFonts w:ascii="Arial" w:hAnsi="Arial" w:cs="Arial" w:eastAsia="Arial"/>
          <w:color w:val="auto"/>
          <w:spacing w:val="0"/>
          <w:position w:val="0"/>
          <w:sz w:val="24"/>
          <w:shd w:fill="auto" w:val="clear"/>
        </w:rPr>
        <w:t xml:space="preserve">в здании Дежевского ДК.</w:t>
      </w:r>
      <w:r>
        <w:rPr>
          <w:rFonts w:ascii="Arial" w:hAnsi="Arial" w:cs="Arial" w:eastAsia="Arial"/>
          <w:color w:val="auto"/>
          <w:spacing w:val="0"/>
          <w:position w:val="0"/>
          <w:sz w:val="24"/>
          <w:shd w:fill="auto" w:val="clear"/>
        </w:rPr>
        <w:t xml:space="preserve">», </w:t>
      </w:r>
    </w:p>
    <w:p>
      <w:pPr>
        <w:spacing w:before="0" w:after="0" w:line="240"/>
        <w:ind w:right="0" w:left="1428" w:hanging="111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7)</w:t>
        <w:tab/>
      </w:r>
      <w:r>
        <w:rPr>
          <w:rFonts w:ascii="Arial" w:hAnsi="Arial" w:cs="Arial" w:eastAsia="Arial"/>
          <w:color w:val="auto"/>
          <w:spacing w:val="0"/>
          <w:position w:val="0"/>
          <w:sz w:val="24"/>
          <w:shd w:fill="auto" w:val="clear"/>
        </w:rPr>
        <w:t xml:space="preserve">в здании  Администрации Зуевского    сельсовета;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не позднее, чем за 7 дней до дня публичных слушаний.</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В публичных слушаниях могут принимать участие все желающие граждане, постоянно проживающие на территории Зуевского   сельсовета Солнцевского района.</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Председательствующим на публичных слушаниях является    Председатель Собрания депутатов Зуевского   сельсовета Солнцевского района, либо председатель комиссии по обсуждению по утверждению годового отчета за 2022 год по Администрации Зуевского   сельсовета.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Протокол публичных слушаний вместе с принятыми на них рекомендациями направляется Собранию депутатов Зуевского   сельсовета Солнцевского района Курской области и обнародуется на информационных стендах, указанных в п. 3.</w:t>
      </w:r>
    </w:p>
    <w:p>
      <w:pPr>
        <w:suppressAutoHyphens w:val="true"/>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Подготовка и проведение публичных слушаний, подготовка всех информационных материалов возлагается на Председателя Собрания депутатов Зуевского   сельсовета Солнцевского района Курской области.</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