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ПРОЕКТ</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РОССИЙСКАЯ ФЕДЕРАЦИЯ</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ЗУЕВСКОГО СЕЛЬСОВЕТА</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от ___________ 2022 г. № _______</w:t>
      </w:r>
    </w:p>
    <w:p>
      <w:pPr>
        <w:spacing w:before="0" w:after="0" w:line="240"/>
        <w:ind w:right="0" w:left="0" w:firstLine="0"/>
        <w:jc w:val="both"/>
        <w:rPr>
          <w:rFonts w:ascii="Arial" w:hAnsi="Arial" w:cs="Arial" w:eastAsia="Arial"/>
          <w:color w:val="000000"/>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Об утверждении программы</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профилактики рисков причинения вреда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охраняемым законом ценностям при осуществлении муниципального контроля в сфере</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благоустройства на территории Зуевского  сельсовета Солнцевского  района на 2023 год.</w:t>
      </w: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В соответствии с</w:t>
      </w:r>
      <w:r>
        <w:rPr>
          <w:rFonts w:ascii="Arial" w:hAnsi="Arial" w:cs="Arial" w:eastAsia="Arial"/>
          <w:b/>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Федеральным законом от 31.07.2020 № 248-ФЗ </w:t>
      </w:r>
      <w:r>
        <w:rPr>
          <w:rFonts w:ascii="Arial" w:hAnsi="Arial" w:cs="Arial" w:eastAsia="Arial"/>
          <w:color w:val="212121"/>
          <w:spacing w:val="0"/>
          <w:position w:val="0"/>
          <w:sz w:val="24"/>
          <w:shd w:fill="FFFFFF" w:val="clear"/>
        </w:rPr>
        <w:t xml:space="preserve">«</w:t>
      </w:r>
      <w:r>
        <w:rPr>
          <w:rFonts w:ascii="Arial" w:hAnsi="Arial" w:cs="Arial" w:eastAsia="Arial"/>
          <w:color w:val="212121"/>
          <w:spacing w:val="0"/>
          <w:position w:val="0"/>
          <w:sz w:val="24"/>
          <w:shd w:fill="FFFFFF" w:val="clear"/>
        </w:rPr>
        <w:t xml:space="preserve">О государственном контроле (надзоре) и муниципальном контроле в Российской Федерации</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на основании постановления Правительства РФ от 25.06.2021г. № 990 </w:t>
      </w:r>
      <w:r>
        <w:rPr>
          <w:rFonts w:ascii="Arial" w:hAnsi="Arial" w:cs="Arial" w:eastAsia="Arial"/>
          <w:color w:val="212121"/>
          <w:spacing w:val="0"/>
          <w:position w:val="0"/>
          <w:sz w:val="24"/>
          <w:shd w:fill="FFFFFF" w:val="clear"/>
        </w:rPr>
        <w:t xml:space="preserve">«</w:t>
      </w:r>
      <w:r>
        <w:rPr>
          <w:rFonts w:ascii="Arial" w:hAnsi="Arial" w:cs="Arial" w:eastAsia="Arial"/>
          <w:color w:val="212121"/>
          <w:spacing w:val="0"/>
          <w:position w:val="0"/>
          <w:sz w:val="24"/>
          <w:shd w:fill="FFFFFF"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администрация Зуевского   сельсовета Солнцевского    района Курской области ПОСТАНОВЛЯЕТ:</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b/>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212121"/>
          <w:spacing w:val="0"/>
          <w:position w:val="0"/>
          <w:sz w:val="24"/>
          <w:shd w:fill="auto" w:val="clear"/>
        </w:rPr>
        <w:t xml:space="preserve">1. </w:t>
      </w:r>
      <w:r>
        <w:rPr>
          <w:rFonts w:ascii="Arial" w:hAnsi="Arial" w:cs="Arial" w:eastAsia="Arial"/>
          <w:color w:val="212121"/>
          <w:spacing w:val="0"/>
          <w:position w:val="0"/>
          <w:sz w:val="24"/>
          <w:shd w:fill="auto" w:val="clear"/>
        </w:rPr>
        <w:t xml:space="preserve">Утвердить </w:t>
      </w:r>
      <w:r>
        <w:rPr>
          <w:rFonts w:ascii="Arial" w:hAnsi="Arial" w:cs="Arial" w:eastAsia="Arial"/>
          <w:color w:val="auto"/>
          <w:spacing w:val="0"/>
          <w:position w:val="0"/>
          <w:sz w:val="24"/>
          <w:shd w:fill="auto" w:val="clear"/>
        </w:rPr>
        <w:t xml:space="preserve">программу профилактики рисков причинения вреда охраняемым законом ценностям при осуществлении муниципального контроля в сфере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благоустройства на территории Зуевского   сельсовета Солнцевского    района на 2023 год.</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1E1E1E"/>
          <w:spacing w:val="0"/>
          <w:position w:val="0"/>
          <w:sz w:val="24"/>
          <w:shd w:fill="FFFFFF" w:val="clear"/>
        </w:rPr>
        <w:t xml:space="preserve">2. </w:t>
      </w:r>
      <w:r>
        <w:rPr>
          <w:rFonts w:ascii="Arial" w:hAnsi="Arial" w:cs="Arial" w:eastAsia="Arial"/>
          <w:color w:val="1E1E1E"/>
          <w:spacing w:val="0"/>
          <w:position w:val="0"/>
          <w:sz w:val="24"/>
          <w:shd w:fill="FFFFFF" w:val="clear"/>
        </w:rPr>
        <w:t xml:space="preserve">Настоящее постановление вступает в силу с момента его официального обнародования.</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1E1E1E"/>
          <w:spacing w:val="0"/>
          <w:position w:val="0"/>
          <w:sz w:val="24"/>
          <w:shd w:fill="FFFFFF" w:val="clear"/>
        </w:rPr>
        <w:t xml:space="preserve">3. </w:t>
      </w:r>
      <w:r>
        <w:rPr>
          <w:rFonts w:ascii="Arial" w:hAnsi="Arial" w:cs="Arial" w:eastAsia="Arial"/>
          <w:color w:val="1E1E1E"/>
          <w:spacing w:val="0"/>
          <w:position w:val="0"/>
          <w:sz w:val="24"/>
          <w:shd w:fill="FFFFFF" w:val="clear"/>
        </w:rPr>
        <w:t xml:space="preserve">Контроль за выполнением постановления оставляю за собой.</w:t>
        <w:br/>
      </w:r>
      <w:r>
        <w:rPr>
          <w:rFonts w:ascii="Arial" w:hAnsi="Arial" w:cs="Arial" w:eastAsia="Arial"/>
          <w:color w:val="1E1E1E"/>
          <w:spacing w:val="0"/>
          <w:position w:val="0"/>
          <w:sz w:val="24"/>
          <w:shd w:fill="FFFFFF" w:val="clear"/>
        </w:rPr>
        <w:br/>
        <w:br/>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Глава</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Зуевского   сельсовета                                                              М.А.Стрекалова</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УТВЕРЖДЕНА</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постановлением администрации</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Зуевского   сельсовета</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Солнцевского    района Курской области</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№_____</w:t>
      </w:r>
      <w:r>
        <w:rPr>
          <w:rFonts w:ascii="Arial" w:hAnsi="Arial" w:cs="Arial" w:eastAsia="Arial"/>
          <w:color w:val="212121"/>
          <w:spacing w:val="0"/>
          <w:position w:val="0"/>
          <w:sz w:val="24"/>
          <w:shd w:fill="FFFFFF" w:val="clear"/>
        </w:rPr>
        <w:t xml:space="preserve">от___________г.</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b/>
          <w:color w:val="auto"/>
          <w:spacing w:val="0"/>
          <w:position w:val="0"/>
          <w:sz w:val="32"/>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Программа</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профилактики рисков причинения вреда охраняемым законом ценностям при осуществлении муниципального контроля в сфере</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благоустройства на территории Зуевского   сельсовета Солнцевского    района на 2023 год.</w:t>
      </w: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Настоящая программа разработана в соответствии со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статьей 44</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31 июля 2021 г. № 248-ФЗ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Правительства Российской Федерации от 25 июня 2021 г.</w:t>
      </w:r>
      <w:r>
        <w:rPr>
          <w:rFonts w:ascii="Arial" w:hAnsi="Arial" w:cs="Arial" w:eastAsia="Arial"/>
          <w:color w:val="auto"/>
          <w:spacing w:val="0"/>
          <w:position w:val="0"/>
          <w:sz w:val="24"/>
          <w:shd w:fill="auto" w:val="clear"/>
        </w:rPr>
        <w:t xml:space="preserve">    № 990 «</w:t>
      </w:r>
      <w:r>
        <w:rPr>
          <w:rFonts w:ascii="Arial" w:hAnsi="Arial" w:cs="Arial" w:eastAsia="Arial"/>
          <w:color w:val="auto"/>
          <w:spacing w:val="0"/>
          <w:position w:val="0"/>
          <w:sz w:val="24"/>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ПАСПОРТ</w:t>
      </w:r>
    </w:p>
    <w:tbl>
      <w:tblPr/>
      <w:tblGrid>
        <w:gridCol w:w="3367"/>
        <w:gridCol w:w="6233"/>
      </w:tblGrid>
      <w:tr>
        <w:trPr>
          <w:trHeight w:val="247" w:hRule="auto"/>
          <w:jc w:val="left"/>
        </w:trPr>
        <w:tc>
          <w:tcPr>
            <w:tcW w:w="3367" w:type="dxa"/>
            <w:tcBorders>
              <w:top w:val="single" w:color="000000" w:sz="8"/>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программы</w:t>
            </w:r>
          </w:p>
        </w:tc>
        <w:tc>
          <w:tcPr>
            <w:tcW w:w="6233"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Программа профилактики рисков причинения вреда охраняемым законом ценностям при осуществлении муниципального контроля в сфере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благоустройства на территории Зуевского   сельсовета Солнцевского    района на 2023 год</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Программа профилактики).</w:t>
            </w:r>
          </w:p>
        </w:tc>
      </w:tr>
      <w:tr>
        <w:trPr>
          <w:trHeight w:val="273"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Правовые основания разработки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31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от 31.07.2020 №248-ФЗ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№248-ФЗ);</w:t>
            </w:r>
          </w:p>
          <w:p>
            <w:pPr>
              <w:spacing w:before="0" w:after="0" w:line="240"/>
              <w:ind w:right="0" w:left="0" w:firstLine="317"/>
              <w:jc w:val="both"/>
              <w:rPr>
                <w:color w:val="auto"/>
                <w:spacing w:val="0"/>
                <w:position w:val="0"/>
              </w:rPr>
            </w:pPr>
            <w:r>
              <w:rPr>
                <w:rFonts w:ascii="Arial" w:hAnsi="Arial" w:cs="Arial" w:eastAsia="Arial"/>
                <w:color w:val="auto"/>
                <w:spacing w:val="0"/>
                <w:position w:val="0"/>
                <w:sz w:val="24"/>
                <w:shd w:fill="auto" w:val="clear"/>
              </w:rPr>
              <w:t xml:space="preserve">Постановление Правительства РФ от 25.06.2021 № 990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eastAsia="Arial"/>
                <w:color w:val="auto"/>
                <w:spacing w:val="0"/>
                <w:position w:val="0"/>
                <w:sz w:val="24"/>
                <w:shd w:fill="auto" w:val="clear"/>
              </w:rPr>
              <w:t xml:space="preserve">».</w:t>
            </w:r>
          </w:p>
        </w:tc>
      </w:tr>
      <w:tr>
        <w:trPr>
          <w:trHeight w:val="109"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Разработчик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 (далее – Администрация поселения)</w:t>
            </w:r>
          </w:p>
        </w:tc>
      </w:tr>
      <w:tr>
        <w:trPr>
          <w:trHeight w:val="523"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Сроки и этапы реализации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2023 </w:t>
            </w:r>
            <w:r>
              <w:rPr>
                <w:rFonts w:ascii="Arial" w:hAnsi="Arial" w:cs="Arial" w:eastAsia="Arial"/>
                <w:color w:val="auto"/>
                <w:spacing w:val="0"/>
                <w:position w:val="0"/>
                <w:sz w:val="24"/>
                <w:shd w:fill="auto" w:val="clear"/>
              </w:rPr>
              <w:t xml:space="preserve">год</w:t>
            </w:r>
          </w:p>
        </w:tc>
      </w:tr>
      <w:tr>
        <w:trPr>
          <w:trHeight w:val="247"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Источники финансирования</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Финансовое обеспечение мероприятий Программы не предусмотрено.</w:t>
            </w:r>
          </w:p>
        </w:tc>
      </w:tr>
      <w:tr>
        <w:trPr>
          <w:trHeight w:val="274"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Ожидаемые конечные результаты реализации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w:t>
            </w:r>
          </w:p>
        </w:tc>
      </w:tr>
    </w:tbl>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567"/>
        <w:jc w:val="left"/>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Раздел 1. Анализ и оценка состояния подконтрольной сферы</w:t>
      </w:r>
    </w:p>
    <w:p>
      <w:pPr>
        <w:spacing w:before="0" w:after="0" w:line="240"/>
        <w:ind w:right="0" w:left="0" w:firstLine="0"/>
        <w:jc w:val="both"/>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территории Зуевского   сельсовета Солнцевского    района осуществляется муниципальный контроль в сфере благоустройства.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Предметом муниципального контроля в сфере благоустройства является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соблюдение юридическими лицами, индивидуальными предпринимателями, гражданами Правил благоустройства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Зуевского   сельсовета Солнцевского    района,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связи с запретом на проведение контрольных мероприятий, установленным ст. 26.2 Федерального закона от 26.12.2008 № 294-ФЗ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плановые и внеплановые проверки в отношении подконтрольных субъектов, относящихся к малому и среднему бизнесу, в 2022 году не проводились.</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Профилактические мероприятия при осуществлении муниципального контроля в сфере благоустройства проводились в отношении юридических лиц, индивидуальных предпринимателей и граждан.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Профилактическое сопровождение контролируемых лиц</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было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направлено 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ежемесячный мониторинг и актуализацию перечня нормативных правовых актов, соблюдение которых оценивается в ходе проверок;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обсуждение правоприменительной практики за соблюдением контролируемыми лицами требований законодательства;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мотивацию физических лиц, юридических лиц, индивидуальных предпринимателей к добросовестному поведению.</w:t>
      </w:r>
    </w:p>
    <w:p>
      <w:pPr>
        <w:spacing w:before="0" w:after="0" w:line="240"/>
        <w:ind w:right="0" w:left="0" w:firstLine="0"/>
        <w:jc w:val="both"/>
        <w:rPr>
          <w:rFonts w:ascii="Arial" w:hAnsi="Arial" w:cs="Arial" w:eastAsia="Arial"/>
          <w:color w:val="auto"/>
          <w:spacing w:val="0"/>
          <w:position w:val="0"/>
          <w:sz w:val="30"/>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 </w:t>
      </w:r>
      <w:r>
        <w:rPr>
          <w:rFonts w:ascii="Arial" w:hAnsi="Arial" w:cs="Arial" w:eastAsia="Arial"/>
          <w:b/>
          <w:color w:val="auto"/>
          <w:spacing w:val="0"/>
          <w:position w:val="0"/>
          <w:sz w:val="30"/>
          <w:shd w:fill="auto" w:val="clear"/>
        </w:rPr>
        <w:t xml:space="preserve">Раздел 2. Цели и задачи реализации программы профилактики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1.     </w:t>
      </w:r>
      <w:r>
        <w:rPr>
          <w:rFonts w:ascii="Arial" w:hAnsi="Arial" w:cs="Arial" w:eastAsia="Arial"/>
          <w:b/>
          <w:color w:val="auto"/>
          <w:spacing w:val="0"/>
          <w:position w:val="0"/>
          <w:sz w:val="26"/>
          <w:shd w:fill="auto" w:val="clear"/>
        </w:rPr>
        <w:t xml:space="preserve">Основными целями Программы профилактики являются: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Стимулирование добросовестного соблюдения обязательных требований всеми контролируемыми лицами;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Создание условий для доведения обязательных требований до контролируемых лиц, повышение информированности о способах их соблюдения;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Повышение уровня благоустройства, соблюдения чистоты и порядка;</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5) </w:t>
      </w:r>
      <w:r>
        <w:rPr>
          <w:rFonts w:ascii="Arial" w:hAnsi="Arial" w:cs="Arial" w:eastAsia="Arial"/>
          <w:color w:val="auto"/>
          <w:spacing w:val="0"/>
          <w:position w:val="0"/>
          <w:sz w:val="24"/>
          <w:shd w:fill="auto" w:val="clear"/>
        </w:rPr>
        <w:t xml:space="preserve">Предотвращение угрозы безопасности жизни и здоровья людей;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w:t>
      </w:r>
      <w:r>
        <w:rPr>
          <w:rFonts w:ascii="Arial" w:hAnsi="Arial" w:cs="Arial" w:eastAsia="Arial"/>
          <w:color w:val="auto"/>
          <w:spacing w:val="0"/>
          <w:position w:val="0"/>
          <w:sz w:val="24"/>
          <w:shd w:fill="auto" w:val="clear"/>
        </w:rPr>
        <w:t xml:space="preserve">Повышение результативности и эффективности контрольной деятельности по муниципальному контролю в сфере благоустройства на 2023 год.</w:t>
      </w: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i/>
          <w:color w:val="auto"/>
          <w:spacing w:val="0"/>
          <w:position w:val="0"/>
          <w:sz w:val="26"/>
          <w:shd w:fill="auto" w:val="clear"/>
        </w:rPr>
        <w:t xml:space="preserve"> </w:t>
      </w:r>
      <w:r>
        <w:rPr>
          <w:rFonts w:ascii="Arial" w:hAnsi="Arial" w:cs="Arial" w:eastAsia="Arial"/>
          <w:b/>
          <w:color w:val="auto"/>
          <w:spacing w:val="0"/>
          <w:position w:val="0"/>
          <w:sz w:val="26"/>
          <w:shd w:fill="auto" w:val="clear"/>
        </w:rPr>
        <w:t xml:space="preserve">2.     </w:t>
      </w:r>
      <w:r>
        <w:rPr>
          <w:rFonts w:ascii="Arial" w:hAnsi="Arial" w:cs="Arial" w:eastAsia="Arial"/>
          <w:b/>
          <w:color w:val="auto"/>
          <w:spacing w:val="0"/>
          <w:position w:val="0"/>
          <w:sz w:val="26"/>
          <w:shd w:fill="auto" w:val="clear"/>
        </w:rPr>
        <w:t xml:space="preserve">Проведение профилактических мероприятий направлено на решение следующих задач:</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Снижение рисков причинения вреда (ущерба) охраняемым законом ценностям;</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Внедрение способов профилактики, установленных Положением о муниципальном контроле в сфере благоустройства;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Повышение прозрачности деятельности контрольного органа;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Повышение уровня правовой грамотности контролируемых лиц;</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5)</w:t>
      </w:r>
      <w:r>
        <w:rPr>
          <w:rFonts w:ascii="Arial" w:hAnsi="Arial" w:cs="Arial" w:eastAsia="Arial"/>
          <w:color w:val="auto"/>
          <w:spacing w:val="0"/>
          <w:position w:val="0"/>
          <w:sz w:val="24"/>
          <w:shd w:fill="auto" w:val="clear"/>
        </w:rPr>
        <w:t xml:space="preserve">Обеспечение доступности информации об обязательных требованиях и необходимых мерах по их исполнению.</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w:t>
      </w:r>
      <w:r>
        <w:rPr>
          <w:rFonts w:ascii="Arial" w:hAnsi="Arial" w:cs="Arial" w:eastAsia="Arial"/>
          <w:color w:val="auto"/>
          <w:spacing w:val="0"/>
          <w:position w:val="0"/>
          <w:sz w:val="24"/>
          <w:shd w:fill="auto" w:val="clear"/>
        </w:rPr>
        <w:t xml:space="preserve">Информирование, консультирование контролируемых лиц с использованием информационно –телекоммуникационных технологий.</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Раздел 3. Перечень профилактических мероприятий, сроки (периодичность) их проведения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30"/>
          <w:shd w:fill="auto" w:val="clear"/>
        </w:rPr>
        <w:t xml:space="preserve"> </w:t>
      </w:r>
      <w:r>
        <w:rPr>
          <w:rFonts w:ascii="Arial" w:hAnsi="Arial" w:cs="Arial" w:eastAsia="Arial"/>
          <w:color w:val="auto"/>
          <w:spacing w:val="0"/>
          <w:position w:val="0"/>
          <w:sz w:val="24"/>
          <w:shd w:fill="auto" w:val="clear"/>
        </w:rPr>
        <w:t xml:space="preserve"> </w:t>
      </w:r>
    </w:p>
    <w:tbl>
      <w:tblPr/>
      <w:tblGrid>
        <w:gridCol w:w="481"/>
        <w:gridCol w:w="4004"/>
        <w:gridCol w:w="2357"/>
        <w:gridCol w:w="2954"/>
      </w:tblGrid>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п/п</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форма проведения</w:t>
            </w:r>
          </w:p>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мероприятия</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center"/>
              <w:rPr>
                <w:color w:val="auto"/>
                <w:spacing w:val="0"/>
                <w:position w:val="0"/>
              </w:rPr>
            </w:pPr>
            <w:r>
              <w:rPr>
                <w:rFonts w:ascii="Arial" w:hAnsi="Arial" w:cs="Arial" w:eastAsia="Arial"/>
                <w:color w:val="auto"/>
                <w:spacing w:val="0"/>
                <w:position w:val="0"/>
                <w:sz w:val="24"/>
                <w:shd w:fill="auto" w:val="clear"/>
              </w:rPr>
              <w:t xml:space="preserve">Срок реализации мероприятия</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Ответственный исполнитель</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2</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center"/>
              <w:rPr>
                <w:color w:val="auto"/>
                <w:spacing w:val="0"/>
                <w:position w:val="0"/>
              </w:rPr>
            </w:pPr>
            <w:r>
              <w:rPr>
                <w:rFonts w:ascii="Arial" w:hAnsi="Arial" w:cs="Arial" w:eastAsia="Arial"/>
                <w:color w:val="auto"/>
                <w:spacing w:val="0"/>
                <w:position w:val="0"/>
                <w:sz w:val="24"/>
                <w:shd w:fill="auto" w:val="clear"/>
              </w:rPr>
              <w:t xml:space="preserve">3</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4</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 </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Информирование</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b/>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b/>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и актуализация на официальном сайте администрации Зуевского   сельсовета Солнцевского    района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2.</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и актуализация на официальном сайте администрации Зуевского   сельсовета Солнцевского    района текстов нормативных правовых актов, по соблюдению обязательных требований, требований, установленных муниципальными правовыми актами.</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осуществление муниципального контроля</w:t>
            </w:r>
          </w:p>
          <w:p>
            <w:pPr>
              <w:spacing w:before="0" w:after="0" w:line="240"/>
              <w:ind w:right="147"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Разработка и размещение на официальном сайте органов местного самоуправления руководств по соблюдению обязательных требований законодательства.</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года</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осуществление муниципального контроля</w:t>
            </w:r>
          </w:p>
          <w:p>
            <w:pPr>
              <w:spacing w:before="0" w:after="0" w:line="240"/>
              <w:ind w:right="147"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на официальном сайте администрации Зуевского   сельсовета Солнцевского    района утвержденных проверочных листов.</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года</w:t>
            </w:r>
          </w:p>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 мере необходимости)</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5.</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и актуализация на официальном сайте администрации Зуевского   сельсовета Солнцевского    района исчерпывающий перечень сведений, которые могут запрашиваться контрольным органом у контролируемого лица</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Информирование юридических лиц, индивидуальных предпринимателей по вопросам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соблюдения обязательных требований законодательства, предъявляемых при осуществлении муниципального контроля</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обращения</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Консультирование</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консультаций, разъяснительной работы по информированию юридических лиц и индивидуальных предпринимателей по следующим вопросам:</w:t>
            </w:r>
          </w:p>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организация и осуществление муниципального контроля;</w:t>
            </w:r>
          </w:p>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порядок осуществления контрольных мероприятий, установленных положением о муниципальном контроле;</w:t>
            </w:r>
          </w:p>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обязательные требования, содержащиеся в разрешительных документах.</w:t>
            </w:r>
            <w:r>
              <w:rPr>
                <w:rFonts w:ascii="Arial" w:hAnsi="Arial" w:cs="Arial" w:eastAsia="Arial"/>
                <w:color w:val="auto"/>
                <w:spacing w:val="0"/>
                <w:position w:val="0"/>
                <w:sz w:val="24"/>
                <w:shd w:fill="auto" w:val="clear"/>
              </w:rPr>
              <w:t xml:space="preserve"> </w:t>
            </w:r>
          </w:p>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для соблюдения обязательных требований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законодательства, оценка соблюдения которых является предметом муниципального контроля в сфере благоустройства.</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мере обращения.</w:t>
            </w:r>
          </w:p>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8.</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Выдача юридическим лицам, индивидуальным предпринимателям предостережений о недопустимости нарушения обязательных требований</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В случаях предусмотренных статьей 49 Закона № 248-ФЗ</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9.</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Профилактический визит в форме профилактической беседы по месту осуществления деятельности контролируемого либо путем использования видео-конференц-связи.</w:t>
            </w:r>
          </w:p>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Профилактический визит к лицам,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приступившим к осуществлению деятельности в контролируемой сфере в 2021 году.</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Информирование</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установленные муниципальными правовыми актами на следующий год</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до 20 декабря текущего года</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Доклад о результатах осуществления муниципального контроля за отчетный (прошедший) год. Подведение итогов о результатах осуществления муниципального контроля. установленные муниципальными правовыми актами на следующий год</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квартал года следующего за отчетным</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bl>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Раздел 4. Показатели результативности и эффективности программы профилактики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Реализация программы профилактики способствует:</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повышению уровня благоустройства, соблюдению чистоты и порядка;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предотвращению угрозы безопасности жизни и здоровья людей.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снижение рисков причинения вреда охраняемым законом ценностям;</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внедрение различных способов профилактики;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разработка образцов эффективного, законопослушного поведения подконтрольных субъектов;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обеспечение квалифицированной профилактической работы должностных лиц контрольного органа;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повышение прозрачности деятельности контрольного органа;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уменьшение административной нагрузки на подконтрольных субъектах;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повышение уровня правовой грамотности подконтрольных субъектов;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обеспечение единообразия понимания предмета контроля подконтрольными субъектами;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мотивация подконтрольных субъектов к добросовестному поведению.</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Показатели по профилактическим мероприятиям информирование и консультирование:</w:t>
      </w:r>
    </w:p>
    <w:tbl>
      <w:tblPr/>
      <w:tblGrid>
        <w:gridCol w:w="629"/>
        <w:gridCol w:w="6238"/>
        <w:gridCol w:w="2553"/>
      </w:tblGrid>
      <w:tr>
        <w:trPr>
          <w:trHeight w:val="527" w:hRule="auto"/>
          <w:jc w:val="left"/>
        </w:trPr>
        <w:tc>
          <w:tcPr>
            <w:tcW w:w="629" w:type="dxa"/>
            <w:tcBorders>
              <w:top w:val="single" w:color="000000" w:sz="8"/>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п/п</w:t>
            </w:r>
          </w:p>
        </w:tc>
        <w:tc>
          <w:tcPr>
            <w:tcW w:w="6238" w:type="dxa"/>
            <w:tcBorders>
              <w:top w:val="single" w:color="000000" w:sz="8"/>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показателя</w:t>
            </w:r>
          </w:p>
        </w:tc>
        <w:tc>
          <w:tcPr>
            <w:tcW w:w="2553" w:type="dxa"/>
            <w:tcBorders>
              <w:top w:val="single" w:color="000000" w:sz="8"/>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Величина</w:t>
            </w:r>
          </w:p>
        </w:tc>
      </w:tr>
      <w:tr>
        <w:trPr>
          <w:trHeight w:val="1" w:hRule="atLeast"/>
          <w:jc w:val="left"/>
        </w:trPr>
        <w:tc>
          <w:tcPr>
            <w:tcW w:w="629" w:type="dxa"/>
            <w:tcBorders>
              <w:top w:val="single" w:color="000000" w:sz="0"/>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6238"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Полнота информации, размещенной на официальном сайте контрольного органа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частью 3 статьи 46 Федерального закона от 31 июля 2021 г. № 248-ФЗ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0"/>
                <w:position w:val="0"/>
                <w:sz w:val="24"/>
                <w:shd w:fill="auto" w:val="clear"/>
              </w:rPr>
              <w:t xml:space="preserve">»</w:t>
            </w:r>
          </w:p>
        </w:tc>
        <w:tc>
          <w:tcPr>
            <w:tcW w:w="2553"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100 %</w:t>
            </w:r>
          </w:p>
        </w:tc>
      </w:tr>
      <w:tr>
        <w:trPr>
          <w:trHeight w:val="1" w:hRule="atLeast"/>
          <w:jc w:val="left"/>
        </w:trPr>
        <w:tc>
          <w:tcPr>
            <w:tcW w:w="629" w:type="dxa"/>
            <w:tcBorders>
              <w:top w:val="single" w:color="000000" w:sz="0"/>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c>
          <w:tcPr>
            <w:tcW w:w="6238"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Удовлетворённость предпринимательского сообщества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контрольной деятельностью в подконтрольной сфере</w:t>
            </w:r>
          </w:p>
        </w:tc>
        <w:tc>
          <w:tcPr>
            <w:tcW w:w="2553"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70 % </w:t>
            </w:r>
            <w:r>
              <w:rPr>
                <w:rFonts w:ascii="Arial" w:hAnsi="Arial" w:cs="Arial" w:eastAsia="Arial"/>
                <w:color w:val="auto"/>
                <w:spacing w:val="0"/>
                <w:position w:val="0"/>
                <w:sz w:val="24"/>
                <w:shd w:fill="auto" w:val="clear"/>
              </w:rPr>
              <w:t xml:space="preserve">от числа обратившихся</w:t>
            </w:r>
          </w:p>
        </w:tc>
      </w:tr>
      <w:tr>
        <w:trPr>
          <w:trHeight w:val="1" w:hRule="atLeast"/>
          <w:jc w:val="left"/>
        </w:trPr>
        <w:tc>
          <w:tcPr>
            <w:tcW w:w="629" w:type="dxa"/>
            <w:tcBorders>
              <w:top w:val="single" w:color="000000" w:sz="0"/>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3.</w:t>
            </w:r>
          </w:p>
        </w:tc>
        <w:tc>
          <w:tcPr>
            <w:tcW w:w="6238"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Количество проведенных профилактических мероприятий</w:t>
            </w:r>
          </w:p>
        </w:tc>
        <w:tc>
          <w:tcPr>
            <w:tcW w:w="2553"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100% </w:t>
            </w:r>
            <w:r>
              <w:rPr>
                <w:rFonts w:ascii="Arial" w:hAnsi="Arial" w:cs="Arial" w:eastAsia="Arial"/>
                <w:color w:val="auto"/>
                <w:spacing w:val="0"/>
                <w:position w:val="0"/>
                <w:sz w:val="24"/>
                <w:shd w:fill="auto" w:val="clear"/>
              </w:rPr>
              <w:t xml:space="preserve">от запланированных</w:t>
            </w:r>
          </w:p>
        </w:tc>
      </w:tr>
    </w:tbl>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Для оценки результативности и эффективности программы профилактики</w:t>
      </w:r>
      <w:r>
        <w:rPr>
          <w:rFonts w:ascii="Arial" w:hAnsi="Arial" w:cs="Arial" w:eastAsia="Arial"/>
          <w:b/>
          <w:color w:val="auto"/>
          <w:spacing w:val="0"/>
          <w:position w:val="0"/>
          <w:sz w:val="26"/>
          <w:shd w:fill="auto" w:val="clear"/>
        </w:rPr>
        <w:t xml:space="preserve">  </w:t>
      </w:r>
      <w:r>
        <w:rPr>
          <w:rFonts w:ascii="Arial" w:hAnsi="Arial" w:cs="Arial" w:eastAsia="Arial"/>
          <w:b/>
          <w:color w:val="auto"/>
          <w:spacing w:val="0"/>
          <w:position w:val="0"/>
          <w:sz w:val="26"/>
          <w:shd w:fill="auto" w:val="clear"/>
        </w:rPr>
        <w:t xml:space="preserve">используются</w:t>
      </w:r>
      <w:r>
        <w:rPr>
          <w:rFonts w:ascii="Arial" w:hAnsi="Arial" w:cs="Arial" w:eastAsia="Arial"/>
          <w:b/>
          <w:color w:val="auto"/>
          <w:spacing w:val="0"/>
          <w:position w:val="0"/>
          <w:sz w:val="26"/>
          <w:shd w:fill="auto" w:val="clear"/>
        </w:rPr>
        <w:t xml:space="preserve">  </w:t>
      </w:r>
      <w:r>
        <w:rPr>
          <w:rFonts w:ascii="Arial" w:hAnsi="Arial" w:cs="Arial" w:eastAsia="Arial"/>
          <w:b/>
          <w:color w:val="auto"/>
          <w:spacing w:val="0"/>
          <w:position w:val="0"/>
          <w:sz w:val="26"/>
          <w:shd w:fill="auto" w:val="clear"/>
        </w:rPr>
        <w:t xml:space="preserve">следующие оценки показателей: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Ind w:w="108" w:type="dxa"/>
      </w:tblPr>
      <w:tblGrid>
        <w:gridCol w:w="2679"/>
        <w:gridCol w:w="2042"/>
        <w:gridCol w:w="2554"/>
        <w:gridCol w:w="1965"/>
      </w:tblGrid>
      <w:tr>
        <w:trPr>
          <w:trHeight w:val="420" w:hRule="auto"/>
          <w:jc w:val="left"/>
        </w:trPr>
        <w:tc>
          <w:tcPr>
            <w:tcW w:w="2679" w:type="dxa"/>
            <w:tcBorders>
              <w:top w:val="single" w:color="000000" w:sz="8"/>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значение показателя</w:t>
            </w:r>
          </w:p>
        </w:tc>
        <w:tc>
          <w:tcPr>
            <w:tcW w:w="2042"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нет отклонения</w:t>
            </w:r>
          </w:p>
        </w:tc>
        <w:tc>
          <w:tcPr>
            <w:tcW w:w="2554"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отклонение больше 20%</w:t>
            </w:r>
          </w:p>
        </w:tc>
        <w:tc>
          <w:tcPr>
            <w:tcW w:w="1965"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отклонение больше 50 %</w:t>
            </w:r>
          </w:p>
        </w:tc>
      </w:tr>
      <w:tr>
        <w:trPr>
          <w:trHeight w:val="420" w:hRule="auto"/>
          <w:jc w:val="left"/>
        </w:trPr>
        <w:tc>
          <w:tcPr>
            <w:tcW w:w="2679"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34"/>
              <w:jc w:val="center"/>
              <w:rPr>
                <w:color w:val="auto"/>
                <w:spacing w:val="0"/>
                <w:position w:val="0"/>
              </w:rPr>
            </w:pPr>
            <w:r>
              <w:rPr>
                <w:rFonts w:ascii="Arial" w:hAnsi="Arial" w:cs="Arial" w:eastAsia="Arial"/>
                <w:color w:val="auto"/>
                <w:spacing w:val="0"/>
                <w:position w:val="0"/>
                <w:sz w:val="24"/>
                <w:shd w:fill="auto" w:val="clear"/>
              </w:rPr>
              <w:t xml:space="preserve">оценка</w:t>
            </w:r>
          </w:p>
        </w:tc>
        <w:tc>
          <w:tcPr>
            <w:tcW w:w="204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высокая эффективность</w:t>
            </w:r>
          </w:p>
        </w:tc>
        <w:tc>
          <w:tcPr>
            <w:tcW w:w="255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удовлетворительная эффективность</w:t>
            </w:r>
          </w:p>
        </w:tc>
        <w:tc>
          <w:tcPr>
            <w:tcW w:w="1965"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низкая эффективность</w:t>
            </w:r>
          </w:p>
        </w:tc>
      </w:tr>
    </w:tbl>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Отчет о достижении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целевых (индикативных) значений показателей результативности и эффективности размещается ежегодно на сайте Администрации Зуевского   сельсовета Солнцевского    района в срок до 1 марта года, следующего за отчетным.</w:t>
      </w:r>
    </w:p>
    <w:p>
      <w:pPr>
        <w:spacing w:before="0" w:after="0" w:line="240"/>
        <w:ind w:right="0" w:left="0" w:firstLine="0"/>
        <w:jc w:val="center"/>
        <w:rPr>
          <w:rFonts w:ascii="Arial" w:hAnsi="Arial" w:cs="Arial" w:eastAsia="Arial"/>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