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СОБРАНИЕ ДЕПУТАТОВ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 Е Ш Е Н И 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11.11.2022 г.                                                                     №46/8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О внесении изменений и дополнений в решение Собрания депутатов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от  22 декабря  2021  г.      № 62/11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 утверждении  Положения о бюджетном процессе в Зуевском    сельсовете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связи с протестом прокуратуры от 16.09.2022 № 04-01-2022 на решение Собрания депутатов от  22 декабря 2021  г.      № 62/11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утверждении  Положения о бюджетном процессе в Зуевском   сельсовете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Собрание депутатов Зуевского   сельсовета  Решило: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Внести в Положение о бюджетном процессе в Зуевском  сельсовете Солнцевского района Курской области, утвержденное решением Собрания депутатов Зуевского   сельсовета  от 22  декабря  2021г. № 62/11 следующие изменения: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статье 12: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подпункт 6 пункта 1 части 12.1. 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«6)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статье 13: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пункт 2 части 13.1. 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«2)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вступает в силу со дня его подписания.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Собрания депутатов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 сельсовета                                                                    Е.А.Муханова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 сельсовета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2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