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uppressAutoHyphens w:val="true"/>
        <w:spacing w:before="0" w:after="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АДМИНИСТРАЦИЯ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ЗУЕВСКОГО СЕЛЬСОВЕТА 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СОЛНЦЕВСКОГО РАЙОНА КУРСКОЙ ОБЛАСТИ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ПОСТАНОВЛЕНИЕ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-1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 23.08.2022 </w:t>
      </w: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г.                                                          №63</w:t>
      </w:r>
    </w:p>
    <w:p>
      <w:pPr>
        <w:suppressAutoHyphens w:val="true"/>
        <w:spacing w:before="0" w:after="0" w:line="240"/>
        <w:ind w:right="169" w:left="0" w:firstLine="0"/>
        <w:jc w:val="both"/>
        <w:rPr>
          <w:rFonts w:ascii="Arial" w:hAnsi="Arial" w:cs="Arial" w:eastAsia="Arial"/>
          <w:color w:val="auto"/>
          <w:spacing w:val="-10"/>
          <w:position w:val="0"/>
          <w:sz w:val="32"/>
          <w:shd w:fill="FFFFFF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Об утверждении порядка 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разработки и утверждения схемы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размещения гаражей, являющихся некапитальными сооружениями, либо для стоянки технических или других средств передвижения инвалидов вблизи их места жительства на землях или земельных участках, находящихся в собственности муниципального образования "Зуевский сельсовет" 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Солнцевского района Курской области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709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 соответствии со статьей 39.36-1 Земельного кодекса Российской Федерации, на основании Устава муниципального образования " Зуевский   сельсовет" Солнцевского района Курской области, администрация Зуевского    сельсовета Солнцевскогорайона ПОСТАНОВЛЯЕТ:</w:t>
      </w:r>
    </w:p>
    <w:p>
      <w:pPr>
        <w:tabs>
          <w:tab w:val="left" w:pos="979" w:leader="none"/>
        </w:tabs>
        <w:suppressAutoHyphens w:val="true"/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-2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auto"/>
          <w:spacing w:val="-2"/>
          <w:position w:val="0"/>
          <w:sz w:val="24"/>
          <w:shd w:fill="FFFFFF" w:val="clear"/>
        </w:rPr>
        <w:t xml:space="preserve">1.</w:t>
        <w:tab/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FFFFFF" w:val="clear"/>
        </w:rPr>
        <w:t xml:space="preserve">Утвердить прилагаемый Порядок разработки и утверждения схемы размещения гаражей, являющихся некапитальными сооружениями, либо для стоянки технических или других средств передвижения инвалидов вблизи их места жительства на землях или земельных участках, находящихся в собственности муниципального образования "Зуевский   сельсовет" Солнцевского района Курской области согласно приложению к настоящему постановлению.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           2.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Контроль за выполнением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 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настоящего постановления оставляю за собой.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            3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Постановление вступает в силу с момента его подписания и подлежит размещению на официальном сайте администрации Зуевского    сельсовета.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И.о. Главы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Зуевского    сельсовета                                                     Т.М.Климова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4394" w:firstLine="709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Приложение </w:t>
      </w:r>
    </w:p>
    <w:p>
      <w:pPr>
        <w:suppressAutoHyphens w:val="true"/>
        <w:spacing w:before="0" w:after="0" w:line="240"/>
        <w:ind w:right="0" w:left="5103" w:firstLine="0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к постановлению Администрации</w:t>
      </w:r>
    </w:p>
    <w:p>
      <w:pPr>
        <w:suppressAutoHyphens w:val="true"/>
        <w:spacing w:before="0" w:after="0" w:line="240"/>
        <w:ind w:right="0" w:left="5103" w:firstLine="0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Зуевского    сельсовета </w:t>
      </w:r>
    </w:p>
    <w:p>
      <w:pPr>
        <w:suppressAutoHyphens w:val="true"/>
        <w:spacing w:before="0" w:after="0" w:line="240"/>
        <w:ind w:right="0" w:left="5103" w:firstLine="0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Солнцевского района Курской области</w:t>
      </w:r>
    </w:p>
    <w:p>
      <w:pPr>
        <w:suppressAutoHyphens w:val="true"/>
        <w:spacing w:before="0" w:after="0" w:line="240"/>
        <w:ind w:right="0" w:left="5103" w:firstLine="0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от 23.08.2022 №63</w:t>
      </w:r>
    </w:p>
    <w:p>
      <w:pPr>
        <w:suppressAutoHyphens w:val="true"/>
        <w:spacing w:before="0" w:after="0" w:line="240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right"/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-2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Порядок разработки и утверждения схемы размещения гаражей, являющихся некапитальными сооружениями, либо для стоянки технических или других средств передвижения инвалидов вблизи их места жительства на землях или земельных участках, находящихся в </w:t>
      </w:r>
      <w:r>
        <w:rPr>
          <w:rFonts w:ascii="Arial" w:hAnsi="Arial" w:cs="Arial" w:eastAsia="Arial"/>
          <w:b/>
          <w:color w:val="auto"/>
          <w:spacing w:val="-2"/>
          <w:position w:val="0"/>
          <w:sz w:val="32"/>
          <w:shd w:fill="auto" w:val="clear"/>
        </w:rPr>
        <w:t xml:space="preserve">собственности муниципального образования "Зуевский   сельсовет" Солнцевского района Курской области</w:t>
      </w:r>
    </w:p>
    <w:p>
      <w:pPr>
        <w:spacing w:before="0" w:after="0" w:line="240"/>
        <w:ind w:right="0" w:left="0" w:firstLine="0"/>
        <w:jc w:val="center"/>
        <w:rPr>
          <w:rFonts w:ascii="PT Astra Serif" w:hAnsi="PT Astra Serif" w:cs="PT Astra Serif" w:eastAsia="PT Astra Serif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3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0"/>
          <w:shd w:fill="auto" w:val="clear"/>
        </w:rPr>
        <w:t xml:space="preserve">I. </w:t>
      </w:r>
      <w:r>
        <w:rPr>
          <w:rFonts w:ascii="Arial" w:hAnsi="Arial" w:cs="Arial" w:eastAsia="Arial"/>
          <w:b/>
          <w:color w:val="auto"/>
          <w:spacing w:val="0"/>
          <w:position w:val="0"/>
          <w:sz w:val="30"/>
          <w:shd w:fill="auto" w:val="clear"/>
        </w:rPr>
        <w:t xml:space="preserve">Общие положения</w:t>
      </w:r>
    </w:p>
    <w:p>
      <w:pPr>
        <w:spacing w:before="0" w:after="0" w:line="240"/>
        <w:ind w:right="0" w:left="0" w:firstLine="709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1.1.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Настоящий Порядок разработки и утверждения схемы размещения гаражей, являющихся некапитальными сооружениями, либо для стоянки технических или других средств передвижения инвалидов вблизи их места жительства на землях или земельных участках, находящихся 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в собственности муниципального образования "Зуевский   сельсовет" Солнцевского района Курской области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(далее соответственно – Порядок, Схема, некапитальные гаражи, стоянка средств передвижения инвалидов, земли и земельные участки) разработан в соответствии пунктом 1 статьи 39.36-1 Земельного кодекса Российской Федерации.</w:t>
      </w:r>
    </w:p>
    <w:p>
      <w:pPr>
        <w:spacing w:before="0" w:after="0" w:line="240"/>
        <w:ind w:right="0" w:left="0" w:firstLine="709"/>
        <w:jc w:val="left"/>
        <w:rPr>
          <w:rFonts w:ascii="Arial" w:hAnsi="Arial" w:cs="Arial" w:eastAsia="Arial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6"/>
          <w:shd w:fill="auto" w:val="clear"/>
        </w:rPr>
        <w:t xml:space="preserve">1.2. </w:t>
      </w:r>
      <w:r>
        <w:rPr>
          <w:rFonts w:ascii="Arial" w:hAnsi="Arial" w:cs="Arial" w:eastAsia="Arial"/>
          <w:b/>
          <w:color w:val="auto"/>
          <w:spacing w:val="0"/>
          <w:position w:val="0"/>
          <w:sz w:val="26"/>
          <w:shd w:fill="auto" w:val="clear"/>
        </w:rPr>
        <w:t xml:space="preserve">Порядок устанавливает:</w:t>
      </w:r>
    </w:p>
    <w:p>
      <w:pPr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1.2.1.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процедуру разработки и утверждения Схемы;</w:t>
      </w:r>
    </w:p>
    <w:p>
      <w:pPr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1.2.2.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порядок внесения изменений в Схему.</w:t>
      </w:r>
    </w:p>
    <w:p>
      <w:pPr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1.3.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Схема и вносимые в нее изменения разрабатываются администрацией Зуевского    сельсовета Солнцевского района (далее – уполномоченный орган) на основании настоящего Порядка и утверждаются постановлением администрации Зуевского    сельсовета Солнцевского района.</w:t>
      </w:r>
    </w:p>
    <w:p>
      <w:pPr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1.4.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Схема и вносимые в нее изменения подлежат опубликованию на официальном сайте Зуевского    сельсовета в информационно-телекоммуникационной сети Интернет.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3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0"/>
          <w:shd w:fill="auto" w:val="clear"/>
        </w:rPr>
        <w:t xml:space="preserve">II. </w:t>
      </w:r>
      <w:r>
        <w:rPr>
          <w:rFonts w:ascii="Arial" w:hAnsi="Arial" w:cs="Arial" w:eastAsia="Arial"/>
          <w:b/>
          <w:color w:val="auto"/>
          <w:spacing w:val="0"/>
          <w:position w:val="0"/>
          <w:sz w:val="30"/>
          <w:shd w:fill="auto" w:val="clear"/>
        </w:rPr>
        <w:t xml:space="preserve">Порядок разработки и утверждения Схемы </w:t>
      </w:r>
    </w:p>
    <w:p>
      <w:pPr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30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2.1.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Разработка Схемы осуществляется уполномоченным органом с учетом требований земельного законодательства, законодательства о градостроительной деятельности, о пожарной безопасности, о безопасности дорожного движения, законодательства в области охраны окружающей среды, в области обеспечения санитарно-эпидемиологического благополучия населения и иных требований законодательства Российской Федерации.</w:t>
      </w:r>
    </w:p>
    <w:p>
      <w:pPr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Возведение гражданами некапитальных гаражей либо стоянки средств передвижения инвалидов не должно препятствовать свободному перемещению пешеходов и транспорта, ограничивать видимость участников дорожного движения, создавать угрозу жизни и здоровью людей, окружающей среде, а также нарушать требования пожарной безопасности.</w:t>
      </w:r>
    </w:p>
    <w:p>
      <w:pPr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2.2.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Разработка Схемы осуществляется уполномоченным органом на основании результатов инвентаризации земель или земельных участков, с учетом сведений Единого государственного реестра недвижимости.</w:t>
      </w:r>
    </w:p>
    <w:p>
      <w:pPr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2.3.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 Схему могут быть включены некапитальные гаражи, возведенные гражданами до дня вступления в силу Федерального закона от 05 апреля 2021 года № 79-ФЗ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 внесении изменений в отдельные законодательные акты Российской Федерации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»,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а также места стоянки средств передвижения инвалидов, предоставленных им до дня вступления в силу Федерального закона от 05 апреля 2021 года № 79-ФЗ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 внесении изменений в отдельные законодательные акты Российской Федерации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».</w:t>
      </w:r>
    </w:p>
    <w:p>
      <w:pPr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2.4.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Не подлежат включению в Схему земли и земельные участки в случаях, если:</w:t>
      </w:r>
    </w:p>
    <w:p>
      <w:pPr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2.4.1.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начаты работы по предоставлению на торгах либо без проведения торгов земельного участка, который планируется включить в Схему, в том числе поданы заявления о заключении соглашения об установлении сервитута, публичного сервитута, о заключении соглашения о перераспределении земельных участков, о выдаче разрешения на использование земель или земельного участка, имеются решения о проведении аукциона, об утверждении схемы расположения земельного участка, о предварительномсогласовании предоставления земельного участка или предварительном согласовании размещения объектов без предоставления земельных участков и установления сервитутов, имеется согласие на заключение соглашения о перераспределении земельных участков;</w:t>
      </w:r>
    </w:p>
    <w:p>
      <w:pPr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2.4.2.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заключено соглашение об установлении сервитута, публичного сервитута в отношении земель или земельного участка;</w:t>
      </w:r>
    </w:p>
    <w:p>
      <w:pPr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2.4.3.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земельный участок, находящийся в собственности муниципального образования "Зуевский   сельсовет" Солнцевского района Курской области, предоставлен физическому или юридическому лицу;</w:t>
      </w:r>
    </w:p>
    <w:p>
      <w:pPr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2.4.4.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возведение гражданами некапитальных гаражей либо стоянки средств передвижения инвалидов не допускается в соответствии с документами территориального планирования, градостроительного зонирования, документацией по планировке территории, нормативами градостроительного проектирования и правилами благоустройства муниципального образования "Зуевский   сельсовет" Солнцевского района Курской области;</w:t>
      </w:r>
    </w:p>
    <w:p>
      <w:pPr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2.4.5.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земли или земельные участки расположены в границах зон с особыми условиями использования территорий, установленные ограничения использования земель или земельных участков, в которых не допускают возведение гражданами некапитальных гаражей либо стоянки средств передвижения инвалидов;</w:t>
      </w:r>
    </w:p>
    <w:p>
      <w:pPr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2.4.6.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отсутствует доступ (прохода, проезда от земель или земельных участков общего пользования) к земельному участку, который планируется включить в Схему;</w:t>
      </w:r>
    </w:p>
    <w:p>
      <w:pPr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2.4.7.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предусмотрено изъятие земельного участка для государственных или муниципальных нужд;</w:t>
      </w:r>
    </w:p>
    <w:p>
      <w:pPr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2.4.8.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земли или земельные участки являются изъятыми из оборота или ограниченными в обороте;</w:t>
      </w:r>
    </w:p>
    <w:p>
      <w:pPr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2.4.9.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имеется вступившее в законную силу судебное решение об освобождении земель или земельных участков от самовольно установленного движимого (временного) объекта.</w:t>
      </w:r>
    </w:p>
    <w:p>
      <w:pPr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2.5.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Схема разрабатывается уполномоченным органом в текстовой и графической форме с учетом существующей дислокации и перспективных мест размещения некапитальных гаражей либо стоянок средств передвижения инвалидов.</w:t>
      </w:r>
    </w:p>
    <w:p>
      <w:pPr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2.6.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Текстовая часть Схемы разрабатывается в виде таблицы по форме согласно приложению № 1 к настоящему Порядку.</w:t>
      </w:r>
    </w:p>
    <w:p>
      <w:pPr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2.7.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Графическая часть Схемы составляется на картографической (топографической) основе с использованием сведений кадастровых планов территорий, единой электронной картографической основы и иных топографических материалов, имеющихся в наличии уполномоченного органа, в виде карты-схемы или карт-схем различных частей территории муниципального образования "Зуевский   сельсовет" Солнцевского района, сформированных в формате PDF, JPEG или TIF в полноцветном режиме с разрешением не менее 300 dpi в масштабе, обеспечивающем читаемость графической информации.</w:t>
      </w:r>
    </w:p>
    <w:p>
      <w:pPr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Графическая часть Схемы должна содержать:</w:t>
      </w:r>
    </w:p>
    <w:p>
      <w:pPr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2.7.1.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наименование карты-схемы;</w:t>
      </w:r>
    </w:p>
    <w:p>
      <w:pPr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2.7.2.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масштаб карты-схемы;</w:t>
      </w:r>
    </w:p>
    <w:p>
      <w:pPr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2.7.3.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учетные номера мест размещения некапитальных гаражей либо стоянок средств передвижения инвалидов, соответствующие учетным номерам мест размещения некапитальных гаражей либо стоянок средств передвижения инвалидов, указанным в текстовой части Схемы;</w:t>
      </w:r>
    </w:p>
    <w:p>
      <w:pPr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2.7.4.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отображение проезжей части улиц и дорог с обязательным указанием названий улиц, домов с их адресной привязкой, границ территорий общего пользования, которыми беспрепятственно пользуется неограниченный круг лиц;</w:t>
      </w:r>
    </w:p>
    <w:p>
      <w:pPr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2.7.5.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используемые условные знаки и обозначения.</w:t>
      </w:r>
    </w:p>
    <w:p>
      <w:pPr>
        <w:spacing w:before="0" w:after="0" w:line="240"/>
        <w:ind w:right="0" w:left="0" w:firstLine="709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540"/>
        <w:jc w:val="center"/>
        <w:rPr>
          <w:rFonts w:ascii="Arial" w:hAnsi="Arial" w:cs="Arial" w:eastAsia="Arial"/>
          <w:b/>
          <w:color w:val="auto"/>
          <w:spacing w:val="0"/>
          <w:position w:val="0"/>
          <w:sz w:val="3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0"/>
          <w:shd w:fill="auto" w:val="clear"/>
        </w:rPr>
        <w:t xml:space="preserve">III. </w:t>
      </w:r>
      <w:r>
        <w:rPr>
          <w:rFonts w:ascii="Arial" w:hAnsi="Arial" w:cs="Arial" w:eastAsia="Arial"/>
          <w:b/>
          <w:color w:val="auto"/>
          <w:spacing w:val="0"/>
          <w:position w:val="0"/>
          <w:sz w:val="30"/>
          <w:shd w:fill="auto" w:val="clear"/>
        </w:rPr>
        <w:t xml:space="preserve">Порядок внесения изменений в Схему</w:t>
      </w:r>
    </w:p>
    <w:p>
      <w:pPr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3.1.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Изменения в Схему вносятся уполномоченным органом:</w:t>
      </w:r>
    </w:p>
    <w:p>
      <w:pPr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3.1.1.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 инициативе уполномоченного органа при возникновении случаев, указанных в подпунктах 2.4.2 - 2.4.5, 2.4.7 - 2.4.9 пункта 2.4 настоящего Порядка;</w:t>
      </w:r>
    </w:p>
    <w:p>
      <w:pPr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3.1.2.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 предложениям исполнительного органа государственной власти, осуществляющего полномочия собственника земельных участков, а также физических лиц.</w:t>
      </w:r>
    </w:p>
    <w:p>
      <w:pPr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3.2.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 целях внесения изменений в Схему заинтересованное лицо, указанное в подпункте 3.1.2 пункта 3.1 настоящего Порядка, подает или направляет в уполномоченный орган заявление о внесении изменений в Схему по форме согласно приложению № 2 к настоящему Порядку (далее - заявитель, заявление).</w:t>
      </w:r>
    </w:p>
    <w:p>
      <w:pPr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3.3.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К заявлению прилагаются:</w:t>
      </w:r>
    </w:p>
    <w:p>
      <w:pPr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3.3.1.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копии документов, удостоверяющих личность заявителя и (или) представителя заявителя, и документ, подтверждающий полномочия представителя заявителя (в случае если заявление подается или направляется представителем заявителя);</w:t>
      </w:r>
    </w:p>
    <w:p>
      <w:pPr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3.3.2.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схема границ места размещения некапитального гаража либо стоянки средств передвижения инвалидов, предполагаемого к включению в Схему, на кадастровом плане территории с указанием координат характерных точек таких границ;</w:t>
      </w:r>
    </w:p>
    <w:p>
      <w:pPr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3.3.3.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копия документа, подтверждающего принадлежность гражданина к категории граждан, обладающих правом на бесплатное использование земель и земельных участков для стоянки средств передвижения инвалидов вблизи их места жительства в случае, если в заявлении указано о включении в Схему места размещения стоянки средств передвижения инвалидов;</w:t>
      </w:r>
    </w:p>
    <w:p>
      <w:pPr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3.4.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Срок рассмотрения уполномоченным органом заявления и прилагаемых к нему документов не может превышать 30 календарных дней с даты их приема таким органом.</w:t>
      </w:r>
    </w:p>
    <w:p>
      <w:pPr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Датой приема заявления является дата его регистрации в уполномоченном органе. Срок регистрации заявления не должен превышать 1 рабочего дня с даты его поступления в уполномоченный орган.</w:t>
      </w:r>
    </w:p>
    <w:p>
      <w:pPr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3.5.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 результатам рассмотрения заявления и прилагаемых к нему документов уполномоченный орган:</w:t>
      </w:r>
    </w:p>
    <w:p>
      <w:pPr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3.5.1.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подготавливает уведомление об отказе в рассмотрении заявления при наличии одного из следующих оснований:</w:t>
      </w:r>
    </w:p>
    <w:p>
      <w:pPr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3.5.1.1.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заявление подано в неуполномоченный орган;</w:t>
      </w:r>
    </w:p>
    <w:p>
      <w:pPr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3.5.1.2.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к заявлению не приложены документы, предусмотренные пунктом 3.3 настоящего Порядка;</w:t>
      </w:r>
    </w:p>
    <w:p>
      <w:pPr>
        <w:spacing w:before="0" w:after="0" w:line="240"/>
        <w:ind w:right="0" w:left="0" w:firstLine="709"/>
        <w:jc w:val="both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3.5.2.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подготавливает уведомление об отказе во внесении изменений в Схему в связи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с наличием случаев, указанных в пункте 2.4 настоящего Порядка;</w:t>
      </w:r>
    </w:p>
    <w:p>
      <w:pPr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3.5.3.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подготавливает уведомление о разработке проекта изменений в Схему.</w:t>
      </w:r>
    </w:p>
    <w:p>
      <w:pPr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3.6.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Уведомления, предусмотренные пунктом 3.5 настоящего Порядка, направляются уполномоченным органом не позднее 3 рабочих дней со дня их подписания заявителю по адресу и способом, указанным в заявлении.</w:t>
      </w:r>
    </w:p>
    <w:p>
      <w:pPr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3.7.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Внесение изменений в Схему осуществляется в соответствии с порядком утверждения Схемы, предусмотренным настоящим Порядком.</w:t>
      </w:r>
    </w:p>
    <w:p>
      <w:pPr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4820" w:firstLine="0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Приложение № 1</w:t>
      </w:r>
    </w:p>
    <w:p>
      <w:pPr>
        <w:spacing w:before="0" w:after="0" w:line="240"/>
        <w:ind w:right="0" w:left="4820" w:firstLine="0"/>
        <w:jc w:val="right"/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к Порядку разработки и утверждения схемы размещения гаражей, являющихся некапитальными сооружениями, либо для стоянки технических или других средств передвижения инвалидов вблизи их места жительства на землях или земельных участках, находящихся в собственности муниципального образования "Зуевский   сельсовет" Солнцевского района Курской области</w:t>
      </w:r>
    </w:p>
    <w:p>
      <w:pPr>
        <w:spacing w:before="0" w:after="0" w:line="240"/>
        <w:ind w:right="0" w:left="0" w:firstLine="0"/>
        <w:jc w:val="center"/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ФОРМА ТЕКСТОВОЙ ЧАСТИ СХЕМЫ 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PT Astra Serif" w:hAnsi="PT Astra Serif" w:cs="PT Astra Serif" w:eastAsia="PT Astra Serif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СХЕМА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(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текстовая часть) размещения гаражей, являющихся некапитальными сооружениями, либо для стоянки технических или других средств передвижения инвалидов вблизи их места жительства на землях или земельных участках, находящихся в собственности муниципального образования "Зуевский   сельсовет" Солнцевского района Курской области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</w:p>
    <w:tbl>
      <w:tblPr/>
      <w:tblGrid>
        <w:gridCol w:w="506"/>
        <w:gridCol w:w="1457"/>
        <w:gridCol w:w="1456"/>
        <w:gridCol w:w="1534"/>
        <w:gridCol w:w="2029"/>
        <w:gridCol w:w="1456"/>
        <w:gridCol w:w="1478"/>
      </w:tblGrid>
      <w:tr>
        <w:trPr>
          <w:trHeight w:val="4550" w:hRule="auto"/>
          <w:jc w:val="left"/>
        </w:trPr>
        <w:tc>
          <w:tcPr>
            <w:tcW w:w="5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№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п/п</w:t>
            </w:r>
          </w:p>
        </w:tc>
        <w:tc>
          <w:tcPr>
            <w:tcW w:w="14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Учетный номер места размещения гаражей либо стоянок</w:t>
            </w:r>
          </w:p>
        </w:tc>
        <w:tc>
          <w:tcPr>
            <w:tcW w:w="1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Назначение места размещения гаражей либо стоянок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гараж, стоянка)</w:t>
            </w:r>
          </w:p>
        </w:tc>
        <w:tc>
          <w:tcPr>
            <w:tcW w:w="1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Кадастровый номер земельного участка либо кадастровый номер кадастрового квартала (для земель), на котором расположено место размещения гаражей либо стоянок</w:t>
            </w:r>
          </w:p>
        </w:tc>
        <w:tc>
          <w:tcPr>
            <w:tcW w:w="20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Местонахождение или адресный ориентир места размещения гаражей либо стоянок</w:t>
            </w:r>
          </w:p>
        </w:tc>
        <w:tc>
          <w:tcPr>
            <w:tcW w:w="1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Площадь места размещения гаражей либо стоянок, м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  <w:vertAlign w:val="superscript"/>
              </w:rPr>
              <w:t xml:space="preserve">2</w:t>
            </w:r>
          </w:p>
        </w:tc>
        <w:tc>
          <w:tcPr>
            <w:tcW w:w="14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Список координат характерных точек границы места размещения гаражей либо стоянок</w:t>
            </w:r>
          </w:p>
        </w:tc>
      </w:tr>
      <w:tr>
        <w:trPr>
          <w:trHeight w:val="391" w:hRule="auto"/>
          <w:jc w:val="left"/>
        </w:trPr>
        <w:tc>
          <w:tcPr>
            <w:tcW w:w="5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1 </w:t>
            </w:r>
          </w:p>
        </w:tc>
        <w:tc>
          <w:tcPr>
            <w:tcW w:w="14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2 </w:t>
            </w:r>
          </w:p>
        </w:tc>
        <w:tc>
          <w:tcPr>
            <w:tcW w:w="1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  <w:tc>
          <w:tcPr>
            <w:tcW w:w="1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20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5</w:t>
            </w:r>
          </w:p>
        </w:tc>
        <w:tc>
          <w:tcPr>
            <w:tcW w:w="1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  <w:tc>
          <w:tcPr>
            <w:tcW w:w="14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7</w:t>
            </w:r>
          </w:p>
        </w:tc>
      </w:tr>
      <w:tr>
        <w:trPr>
          <w:trHeight w:val="391" w:hRule="auto"/>
          <w:jc w:val="left"/>
        </w:trPr>
        <w:tc>
          <w:tcPr>
            <w:tcW w:w="5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1.</w:t>
            </w:r>
          </w:p>
        </w:tc>
        <w:tc>
          <w:tcPr>
            <w:tcW w:w="14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12" w:hRule="auto"/>
          <w:jc w:val="left"/>
        </w:trPr>
        <w:tc>
          <w:tcPr>
            <w:tcW w:w="5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2.</w:t>
            </w:r>
          </w:p>
        </w:tc>
        <w:tc>
          <w:tcPr>
            <w:tcW w:w="14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08" w:hRule="auto"/>
          <w:jc w:val="left"/>
        </w:trPr>
        <w:tc>
          <w:tcPr>
            <w:tcW w:w="5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…</w:t>
            </w:r>
          </w:p>
        </w:tc>
        <w:tc>
          <w:tcPr>
            <w:tcW w:w="14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PT Astra Serif" w:hAnsi="PT Astra Serif" w:cs="PT Astra Serif" w:eastAsia="PT Astra Serif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4820" w:firstLine="0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Приложение № 2</w:t>
      </w:r>
    </w:p>
    <w:p>
      <w:pPr>
        <w:spacing w:before="0" w:after="0" w:line="240"/>
        <w:ind w:right="0" w:left="4820" w:firstLine="0"/>
        <w:jc w:val="right"/>
        <w:rPr>
          <w:rFonts w:ascii="PT Astra Serif" w:hAnsi="PT Astra Serif" w:cs="PT Astra Serif" w:eastAsia="PT Astra Serif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к Порядку разработки и утверждения схемы размещения гаражей, являющихся некапитальными сооружениями, либо для стоянки технических или других средств передвижения инвалидов вблизи их места жительства на землях или земельных участках, находящихся в собственности муниципального образования "Зуевский   сельсовет" Солнцевского района Курской области</w:t>
      </w:r>
    </w:p>
    <w:p>
      <w:pPr>
        <w:spacing w:before="0" w:after="0" w:line="240"/>
        <w:ind w:right="0" w:left="0" w:firstLine="0"/>
        <w:jc w:val="left"/>
        <w:rPr>
          <w:rFonts w:ascii="PT Astra Serif" w:hAnsi="PT Astra Serif" w:cs="PT Astra Serif" w:eastAsia="PT Astra Serif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ФОРМА ЗАЯВЛЕНИЯ </w:t>
      </w:r>
    </w:p>
    <w:p>
      <w:pPr>
        <w:spacing w:before="0" w:after="0" w:line="240"/>
        <w:ind w:right="0" w:left="0" w:firstLine="0"/>
        <w:jc w:val="center"/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3927"/>
        <w:gridCol w:w="5563"/>
      </w:tblGrid>
      <w:tr>
        <w:trPr>
          <w:trHeight w:val="5490" w:hRule="auto"/>
          <w:jc w:val="left"/>
        </w:trPr>
        <w:tc>
          <w:tcPr>
            <w:tcW w:w="392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141" w:firstLine="540"/>
              <w:jc w:val="both"/>
              <w:rPr>
                <w:rFonts w:ascii="PT Astra Serif" w:hAnsi="PT Astra Serif" w:cs="PT Astra Serif" w:eastAsia="PT Astra Serif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556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141" w:firstLine="0"/>
              <w:jc w:val="righ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от ____________________________________</w:t>
            </w:r>
          </w:p>
          <w:p>
            <w:pPr>
              <w:suppressAutoHyphens w:val="true"/>
              <w:spacing w:before="0" w:after="0" w:line="240"/>
              <w:ind w:right="0" w:left="141" w:firstLine="0"/>
              <w:jc w:val="righ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_______________________________________</w:t>
            </w:r>
          </w:p>
          <w:p>
            <w:pPr>
              <w:suppressAutoHyphens w:val="true"/>
              <w:spacing w:before="0" w:after="0" w:line="240"/>
              <w:ind w:right="0" w:left="141" w:firstLine="0"/>
              <w:jc w:val="righ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  <w:vertAlign w:val="superscript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  <w:vertAlign w:val="superscript"/>
              </w:rPr>
              <w:t xml:space="preserve">(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  <w:vertAlign w:val="superscript"/>
              </w:rPr>
              <w:t xml:space="preserve">фамилия, имя и (при наличии)отчество))</w:t>
            </w:r>
          </w:p>
          <w:p>
            <w:pPr>
              <w:suppressAutoHyphens w:val="true"/>
              <w:spacing w:before="0" w:after="0" w:line="240"/>
              <w:ind w:right="0" w:left="141" w:firstLine="0"/>
              <w:jc w:val="righ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Документ, удостоверяющий личность:</w:t>
            </w:r>
          </w:p>
          <w:p>
            <w:pPr>
              <w:suppressAutoHyphens w:val="true"/>
              <w:spacing w:before="0" w:after="0" w:line="240"/>
              <w:ind w:right="0" w:left="141" w:firstLine="0"/>
              <w:jc w:val="righ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_______________________________________</w:t>
            </w:r>
          </w:p>
          <w:p>
            <w:pPr>
              <w:suppressAutoHyphens w:val="true"/>
              <w:spacing w:before="0" w:after="0" w:line="240"/>
              <w:ind w:right="0" w:left="141" w:firstLine="0"/>
              <w:jc w:val="righ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  <w:vertAlign w:val="superscript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  <w:vertAlign w:val="superscript"/>
              </w:rPr>
              <w:t xml:space="preserve">(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  <w:vertAlign w:val="superscript"/>
              </w:rPr>
              <w:t xml:space="preserve">вид документа)</w:t>
            </w:r>
          </w:p>
          <w:p>
            <w:pPr>
              <w:suppressAutoHyphens w:val="true"/>
              <w:spacing w:before="0" w:after="0" w:line="240"/>
              <w:ind w:right="0" w:left="141" w:firstLine="0"/>
              <w:jc w:val="righ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_______________________________________</w:t>
            </w:r>
          </w:p>
          <w:p>
            <w:pPr>
              <w:suppressAutoHyphens w:val="true"/>
              <w:spacing w:before="0" w:after="0" w:line="240"/>
              <w:ind w:right="0" w:left="141" w:firstLine="0"/>
              <w:jc w:val="righ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  <w:vertAlign w:val="superscript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  <w:vertAlign w:val="superscript"/>
              </w:rPr>
              <w:t xml:space="preserve">(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  <w:vertAlign w:val="superscript"/>
              </w:rPr>
              <w:t xml:space="preserve">серия, номер)</w:t>
            </w:r>
          </w:p>
          <w:p>
            <w:pPr>
              <w:suppressAutoHyphens w:val="true"/>
              <w:spacing w:before="0" w:after="0" w:line="240"/>
              <w:ind w:right="0" w:left="141" w:firstLine="0"/>
              <w:jc w:val="righ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_______________________________________</w:t>
            </w:r>
          </w:p>
          <w:p>
            <w:pPr>
              <w:suppressAutoHyphens w:val="true"/>
              <w:spacing w:before="0" w:after="0" w:line="240"/>
              <w:ind w:right="0" w:left="141" w:firstLine="0"/>
              <w:jc w:val="righ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_______________________________________</w:t>
            </w:r>
          </w:p>
          <w:p>
            <w:pPr>
              <w:suppressAutoHyphens w:val="true"/>
              <w:spacing w:before="0" w:after="0" w:line="240"/>
              <w:ind w:right="0" w:left="141" w:firstLine="0"/>
              <w:jc w:val="righ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  <w:vertAlign w:val="superscript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  <w:vertAlign w:val="superscript"/>
              </w:rPr>
              <w:t xml:space="preserve">(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  <w:vertAlign w:val="superscript"/>
              </w:rPr>
              <w:t xml:space="preserve">кем, когда выдан)</w:t>
            </w:r>
          </w:p>
          <w:p>
            <w:pPr>
              <w:suppressAutoHyphens w:val="true"/>
              <w:spacing w:before="0" w:after="0" w:line="240"/>
              <w:ind w:right="0" w:left="141" w:firstLine="0"/>
              <w:jc w:val="righ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Адрес регистрации ______________________</w:t>
            </w:r>
          </w:p>
          <w:p>
            <w:pPr>
              <w:suppressAutoHyphens w:val="true"/>
              <w:spacing w:before="0" w:after="0" w:line="240"/>
              <w:ind w:right="0" w:left="141" w:firstLine="0"/>
              <w:jc w:val="righ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_______________________________________</w:t>
            </w:r>
          </w:p>
          <w:p>
            <w:pPr>
              <w:suppressAutoHyphens w:val="true"/>
              <w:spacing w:before="0" w:after="0" w:line="240"/>
              <w:ind w:right="0" w:left="141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Контактная информация:</w:t>
            </w:r>
          </w:p>
          <w:p>
            <w:pPr>
              <w:suppressAutoHyphens w:val="true"/>
              <w:spacing w:before="0" w:after="0" w:line="240"/>
              <w:ind w:right="0" w:left="141" w:firstLine="0"/>
              <w:jc w:val="righ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телефон _______________________________</w:t>
            </w:r>
          </w:p>
          <w:p>
            <w:pPr>
              <w:suppressAutoHyphens w:val="true"/>
              <w:spacing w:before="0" w:after="0" w:line="240"/>
              <w:ind w:right="0" w:left="141" w:firstLine="0"/>
              <w:jc w:val="righ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почтовый адрес _________________________</w:t>
            </w:r>
          </w:p>
          <w:p>
            <w:pPr>
              <w:suppressAutoHyphens w:val="true"/>
              <w:spacing w:before="0" w:after="0" w:line="240"/>
              <w:ind w:right="0" w:left="141" w:firstLine="0"/>
              <w:jc w:val="righ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_______________________________________</w:t>
            </w:r>
          </w:p>
          <w:p>
            <w:pPr>
              <w:suppressAutoHyphens w:val="true"/>
              <w:spacing w:before="0" w:after="0" w:line="240"/>
              <w:ind w:right="0" w:left="141" w:firstLine="0"/>
              <w:jc w:val="righ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электронная почта ______________________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</w:tr>
    </w:tbl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ЗАЯВЛЕНИЕ</w:t>
      </w:r>
    </w:p>
    <w:p>
      <w:pPr>
        <w:spacing w:before="0" w:after="0" w:line="240"/>
        <w:ind w:right="0" w:left="0" w:firstLine="0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8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Прошу включить в схему размещения гаражей, являющихся некапитальными сооружениями, либо стоянки технических или других средств передвижения инвалидов вблизи их места жительства на землях или земельных участках, находящихся в собственности муниципального образования "Зуевский   сельсовет" Солнцевского района Курской области место размещения ____________________________________________________________________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  <w:vertAlign w:val="superscript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  <w:vertAlign w:val="superscript"/>
        </w:rPr>
        <w:t xml:space="preserve">(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  <w:vertAlign w:val="superscript"/>
        </w:rPr>
        <w:t xml:space="preserve">гаража, являющегося некапитальным сооружением, либо стоянки технических или других                                                        средств передвижения инвалидов вблизи их места жительства)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Местонахождение или адресный ориентир места размещения ________________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_____________________________________________________________________</w:t>
        <w:br/>
        <w:t xml:space="preserve">_____________________________________________________________________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Площадь места размещения (кв. м) _____________________________________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К заявлению прилагаются следующие документы: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__________________________________________________________________________________________________________________________________________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__________________________________________________________________________________________________________________________________________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__________________________________________________________________________________________________________________________________________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_____________________________________________________________________</w:t>
      </w:r>
    </w:p>
    <w:p>
      <w:pPr>
        <w:spacing w:before="0" w:after="0" w:line="240"/>
        <w:ind w:right="0" w:left="0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Способ получения ответа на заявление (отметить один вариант):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┌───┐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││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почтовымотправлениемпоадресу, указанномувзаявлении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├───┤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││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личнопоместунахожденияуполномоченногооргана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└───┘</w:t>
      </w:r>
    </w:p>
    <w:p>
      <w:pPr>
        <w:spacing w:before="0" w:after="0" w:line="240"/>
        <w:ind w:right="0" w:left="0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Заявитель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(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представитель заявителя): _____________     _____________________________</w:t>
      </w:r>
    </w:p>
    <w:p>
      <w:pPr>
        <w:spacing w:before="0" w:after="0" w:line="240"/>
        <w:ind w:right="0" w:left="0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                                               (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подпись)                     (расшифровка подписи)</w:t>
      </w:r>
    </w:p>
    <w:p>
      <w:pPr>
        <w:spacing w:before="0" w:after="0" w:line="240"/>
        <w:ind w:right="0" w:left="0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«___» ___________________ 20__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г.</w:t>
      </w:r>
    </w:p>
    <w:p>
      <w:pPr>
        <w:spacing w:before="0" w:after="0" w:line="240"/>
        <w:ind w:right="0" w:left="0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5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Оборотная сторона заявления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СОГЛАСИЕ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на обработку персональных данных</w:t>
      </w:r>
    </w:p>
    <w:p>
      <w:pPr>
        <w:spacing w:before="0" w:after="0" w:line="240"/>
        <w:ind w:right="0" w:left="0" w:firstLine="0"/>
        <w:jc w:val="both"/>
        <w:rPr>
          <w:rFonts w:ascii="PT Astra Serif" w:hAnsi="PT Astra Serif" w:cs="PT Astra Serif" w:eastAsia="PT Astra Serif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Я,______________________________________________________________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____________________________________________________________________,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  <w:vertAlign w:val="superscript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  <w:vertAlign w:val="superscript"/>
        </w:rPr>
        <w:t xml:space="preserve">(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  <w:vertAlign w:val="superscript"/>
        </w:rPr>
        <w:t xml:space="preserve">фамилия, имя, отчество (при наличии), адрес регистрации)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 соответствии со статьей 9 Федерального закона от 27 июля 2006 года № 152-ФЗ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 персональных данных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выражаю(ем) свое согласие на обработку __________________________________________________________________________________________________________________________________________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(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наименование органа)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моих персональных данных.</w:t>
      </w:r>
    </w:p>
    <w:p>
      <w:pPr>
        <w:spacing w:before="0" w:after="0" w:line="240"/>
        <w:ind w:right="0" w:left="0" w:firstLine="709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1. 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___________________________________________________________________________________-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далее – оператор)(наименование органа)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вправе осуществлять обработку моих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блокирование, уничтожение моих персональных данных) в документарной и электронной форме.</w:t>
      </w:r>
    </w:p>
    <w:p>
      <w:pPr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Перечень персональных данных, на обработку которых дается настоящее согласие: фамилия, имя, отчество (при наличии), адрес регистрации, паспортные данные, контактные данные (телефон, электронная почта).</w:t>
      </w:r>
    </w:p>
    <w:p>
      <w:pPr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3. 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Настоящее согласие действует бессрочно. Условием прекращения обработки персональных данных является получение моего письменного отзыва настоящего согласия. Оператор прекращает обработку персональных данных и в случае, если сохранения персональных данных не требуется, уничтожает их в срок, не превышающий 30 дней с даты поступления указанного отзыва. Оператор вправе после получения отзыва настоящего согласия продолжать обработку моих персональных данных в той части, в которой для ее осуществления согласия не требуется или не будет требоваться в силу действующего законодательства.</w:t>
      </w:r>
    </w:p>
    <w:p>
      <w:pPr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Настоящий пункт является соглашением между мной и оператором об изменении срока прекращения обработки моих персональных данных после поступления отзыва настоящего согласия.</w:t>
      </w:r>
    </w:p>
    <w:p>
      <w:pPr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4.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Оператор вправе обрабатывать мои персональные данные в целях, предусмотренных настоящим заявлением, а также в целях исполнения иных полномочий в соответствии с действующим законодательством.</w:t>
      </w:r>
    </w:p>
    <w:p>
      <w:pPr>
        <w:suppressAutoHyphens w:val="true"/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5.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Я даю согласие на передачу своих персональных данных третьим лицам для обработки способами, указанными в пункте 1 настоящего согласия, для достижения целей, указанных в пункте 4 настоящего согласия.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