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946" w:leader="none"/>
          <w:tab w:val="left" w:pos="13183" w:leader="none"/>
          <w:tab w:val="left" w:pos="24956" w:leader="none"/>
          <w:tab w:val="right" w:pos="29028" w:leader="none"/>
        </w:tabs>
        <w:suppressAutoHyphens w:val="true"/>
        <w:spacing w:before="0" w:after="0" w:line="240"/>
        <w:ind w:right="28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6946" w:leader="none"/>
          <w:tab w:val="left" w:pos="13183" w:leader="none"/>
          <w:tab w:val="left" w:pos="24956" w:leader="none"/>
          <w:tab w:val="right" w:pos="29028" w:leader="none"/>
        </w:tabs>
        <w:suppressAutoHyphens w:val="true"/>
        <w:spacing w:before="0" w:after="0" w:line="240"/>
        <w:ind w:right="28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ЗУЕВСКОГО   СЕЛЬСОВЕТА СОЛНЦЕВСКОГО РАЙОНА КУРСКОЙ ОБЛАСТИ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проект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Об утверждении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Временных правил формирования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00"/>
            <w:spacing w:val="0"/>
            <w:position w:val="0"/>
            <w:sz w:val="32"/>
            <w:u w:val="single"/>
            <w:shd w:fill="auto" w:val="clear"/>
          </w:rPr>
          <w:t xml:space="preserve">земельных участков</w:t>
        </w:r>
      </w:hyperlink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на которых расположены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Зуевском сельсовете Солнцевского района Курской </w:t>
      </w: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00"/>
            <w:spacing w:val="0"/>
            <w:position w:val="0"/>
            <w:sz w:val="32"/>
            <w:u w:val="single"/>
            <w:shd w:fill="auto" w:val="clear"/>
          </w:rPr>
          <w:t xml:space="preserve">области</w:t>
        </w:r>
      </w:hyperlink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требованиям статьи 18 ч.3 Федерального закона от 05.04.2021 г. 3 79-ФЗ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 по вопросу оформления в упрощенном порядке прав граждан на отдельные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объекты недвижимого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пунктами 2, 5-8 статьи 36 Земельного кодекса Российской Федерации, Администрация Зуевского   сельсовета Солнцевского района Курской области ПОСТАНОВЛЯЕТ: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Временные правила 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Зуевском   сельсовете 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приложение № 1).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за выполнением  настоящего постановления оставляю за собой.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Постановление вступает в силу с момента его подписания и подлежит размещению на официальном сайте администрации Зуевского   сельсовета.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И.о.Главы Зуевского   сельсовета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      Т.М.Климова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Зуевского   сельсовета           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 Курской области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Временные правила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Зуевском   сельсовете Солнцевского  района Курской области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Оказание содействия гражданам по вопросу упрощенного оформления права собственности на гаражи и прав на земельные участки гаражей.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права граждан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гаражи, и земельные участки гаражей.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выдает акты ввода в эксплуатацию индивидуальных гаражных боксов, гражданам которые построили гараж, но не оформили право собственности на него.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 проводит разъяснительную работу с владельцами гаражей по вопросам оформления прав на гаражи и земельные участки, в том числе через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средства массовой информации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информационные листовки, проведение собраний и встреч.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file://C:\text\category\smolenskaya_obl_\" Id="docRId1" Type="http://schemas.openxmlformats.org/officeDocument/2006/relationships/hyperlink"/><Relationship TargetMode="External" Target="file://C:\text\category\prava_i_obyazannosti_grazhdan\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file://C:\text\category\zemelmznie_uchastki\" Id="docRId0" Type="http://schemas.openxmlformats.org/officeDocument/2006/relationships/hyperlink"/><Relationship TargetMode="External" Target="file://C:\text\category\obtzekti_nedvizhimosti\" Id="docRId2" Type="http://schemas.openxmlformats.org/officeDocument/2006/relationships/hyperlink"/><Relationship TargetMode="External" Target="file://C:\text\category\sredstva_massovoj_informatcii\" Id="docRId4" Type="http://schemas.openxmlformats.org/officeDocument/2006/relationships/hyperlink"/><Relationship Target="styles.xml" Id="docRId6" Type="http://schemas.openxmlformats.org/officeDocument/2006/relationships/styles"/></Relationships>
</file>