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-1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169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3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порядка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разработки и утверждения схемы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сельсовет"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39.36-1 Земельного кодекса Российской Федерации, на основании Устава муниципального образования " Зуевский   сельсовет" Солнцевского района Курской области, администрация Зуевского    сельсовета Солнцевскогорайона ПОСТАНОВЛЯЕТ:</w:t>
      </w:r>
    </w:p>
    <w:p>
      <w:pPr>
        <w:tabs>
          <w:tab w:val="left" w:pos="979" w:leader="none"/>
        </w:tabs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 согласно приложению к настоящему постановлению.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выполнением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 момента его подписания и подлежит размещению на официальном сайте администрации Зуевского    сельсовета.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 Главы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                                                    Т.М.Климова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394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-2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>
        <w:rPr>
          <w:rFonts w:ascii="Arial" w:hAnsi="Arial" w:cs="Arial" w:eastAsia="Arial"/>
          <w:b/>
          <w:color w:val="auto"/>
          <w:spacing w:val="-2"/>
          <w:position w:val="0"/>
          <w:sz w:val="32"/>
          <w:shd w:fill="auto" w:val="clear"/>
        </w:rPr>
        <w:t xml:space="preserve">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I. 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в собственности муниципального образования "Зуевский   сельсовет"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 соответственно – Порядок, Схема, некапитальные гаражи, стоянка средств передвижения инвалидов, земли и земельные участки) разработан в соответствии пунктом 1 статьи 39.36-1 Земельного кодекса Российской Федерации.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1.2.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Порядок устанавливает: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процедуру разработки и утверждения 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внесения изменений в Схему.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и вносимые в нее изменения разрабатываются администрацией Зуевского    сельсовета Солнцевского района (далее – уполномоченный орган) на основании настоящего Порядка и утверждаются постановлением администрации Зуевского   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и вносимые в нее изменения подлежат опубликованию на официальном сайте Зуевского    сельсовета в информационно-телекоммуникационной сети Интернет.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разработки и утверждения Схемы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санитарно-эпидемиологического благополучия населения и иных требований законодательства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Возведение гражданами некапитальных гаражей либо стоянки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Схему могут быть включены некапитальные гаражи, возведенные гражданами до дня вступления в силу Федерального закона от 05 апреля 2021 года № 79-ФЗ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также места стоянки средств передвижения инвалидов, предоставленных им до дня вступления в силу Федерального закона от 05 апреля 2021 года № 79-ФЗ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подлежат включению в Схему земли и земельные участки в случаях, если: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заключено соглашение об установлении сервитута, публичного сервитута в отношении земель или земельного участка;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земельный участок, находящийся в собственности муниципального образования "Зуевский   сельсовет" Солнцевского района Курской области, предоставлен физическому или юридическому лицу;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возведение гражданами некапитальных гаражей либо стоянки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муниципального образования "Зуевский   сельсовет" Солнцевского района Курской области;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стоянки средств передвижения инвалидов;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 изъятие земельного участка для государственных или муниципальных нужд;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земли или земельные участки являются изъятыми из оборота или ограниченными в обороте;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Текстовая часть Схемы разрабатывается в виде таблицы по форме согласно приложению № 1 к настоящему Порядку.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 "Зуевский   сельсовет" Солнцевского района, сформированных в формате PDF, JPEG или TIF в полноцветном режиме с разрешением не менее 300 dpi в масштабе, обеспечивающем читаемость графической информации.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Схемы должна содержать: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карты-схемы;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масштаб карты-схемы;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используемые условные знаки и обозначения.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внесения изменений в Схему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Изменения в Схему вносятся уполномоченным органом: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инициативе уполномоченного органа при возникновении случаев, указанных в подпунктах 2.4.2 - 2.4.5, 2.4.7 - 2.4.9 пункта 2.4 настоящего Порядка;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заявлению прилагаются: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места размещения стоянки средств передвижения инвалидов;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рассмотрения заявления и прилагаемых к нему документов уполномоченный орган: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уведомление об отказе в рассмотрении заявления при наличии одного из следующих оснований: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подано в неуполномоченный орган;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заявлению не приложены документы, предусмотренные пунктом 3.3 настоящего Порядка;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уведомление об отказе во внесении изменений в Схему в связи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 наличием случаев, указанных в пункте 2.4 настоящего Порядка;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уведомление о разработке проекта изменений в Схему.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 изменений в Схему осуществляется в соответствии с порядком утверждения Схемы, предусмотренным настоящим Порядком.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82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482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ТЕКСТОВОЙ ЧАСТИ СХЕМЫ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СХЕМА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06"/>
        <w:gridCol w:w="1457"/>
        <w:gridCol w:w="1456"/>
        <w:gridCol w:w="1534"/>
        <w:gridCol w:w="2029"/>
        <w:gridCol w:w="1456"/>
        <w:gridCol w:w="1478"/>
      </w:tblGrid>
      <w:tr>
        <w:trPr>
          <w:trHeight w:val="4550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Учетный номер места размещения гаражей либо стоянок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Назначение места размещения гаражей либо стоянок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гараж, стоянка)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Местонахождение или адресный ориентир места размещения гаражей либо стоянок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места размещения гаражей либо стоянок, 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координат характерных точек границы места размещения гаражей либо стоянок</w:t>
            </w:r>
          </w:p>
        </w:tc>
      </w:tr>
      <w:tr>
        <w:trPr>
          <w:trHeight w:val="391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91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82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482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ЗАЯВЛЕНИЯ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927"/>
        <w:gridCol w:w="5563"/>
      </w:tblGrid>
      <w:tr>
        <w:trPr>
          <w:trHeight w:val="5490" w:hRule="auto"/>
          <w:jc w:val="left"/>
        </w:trPr>
        <w:tc>
          <w:tcPr>
            <w:tcW w:w="3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41" w:firstLine="54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фамилия, имя и (при наличии)отчество))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Документ, удостоверяющий личность: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вид документа)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серия, номер)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кем, когда выдан)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регистрации 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Контактная информация: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 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почтовый адрес 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электронная почта 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 место размещения 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Местонахождение или адресный ориентир места размещения 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  <w:br/>
        <w:t xml:space="preserve">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Площадь места размещения (кв. м)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заявлению прилагаются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 получения ответа на заявление (отметить один вариант):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┌───┐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││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почтовымотправлениемпоадресу, указанномувзаявлении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├───┤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││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личнопоместунахожденияуполномоченногооргана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└───┘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 заявителя): _____________     _____________________________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подпись)                     (расшифровка подписи)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«___» ___________________ 20__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Оборотная сторона заявления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СОГЛАСИЕ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обработку персональных данных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Я,______________________________________________________________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фамилия, имя, отчество (при наличии), адрес регистрации)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9 Федерального закона от 27 июля 2006 года № 152-ФЗ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выражаю(ем) свое согласие на обработку 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 органа)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моих персональных данных.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далее – оператор)(наименование органа)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