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  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 О С Т А Н О В Л Е Н И 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  23 декабря 2021 г                                                      №   137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основных направлений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долговой политики муниципального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образования "Зуевский сельсовет" Солнцевского района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Курской области на 2022 год и на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плановый период 2023 и 2024 годов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В соответствии с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пунктом 13 статьи 107.1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Бюджетного кодекса Российской Федерации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, распоряжением Администрации Курской области от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04.10.2021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№ 587-ра «Об утверждении основных направлений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долговой политики Курской области на 2022 год и на плановый период 2023 и 2024 годов» Администрация  Зуевского сельсовета  Солнцевского района Курской области ПОСТАНОВЛЯЕТ: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1. Утвердить прилагаемые основные направления долговой политики муниципального образования "Зуевский сельсовет" Солнцевского района Курской области на 2022 год и на плановый период 2023 и 2024 годов (далее – основные направления долговой политики).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2.  Администрации Зуевского сельсовета Солнцевского района Курской области (Е.Н.Четвериковой) обеспечить формирование бюджета муниципального образования "Зуевский сельсовет" Солнцевского района Курской областина 2022 год и на плановый период 2023 и 2024 годов с учетом основных направлений долговой политики.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4. Постановление вступает в силу со дня его подписания.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Глава Зуевского сельсовета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Солнцевского района                                              М.А.Стрекалова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Основные направления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долговой политики муниципального образования "Зуевский сельсовет" Солнцевского района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Курской области на 2022 год и на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плановый период 2023 и 2024 годов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1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I. Общие положения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Долговая политика муниципального образования "Зуевский сельсовет" Солнцевского района Курской области на 2022 год и на плановый период 2023 и 2024 годов  является составной частью бюджетной политики, и заключается в реализации комплекса мер, направленных на обеспечение потребности в заемном финансировании, своевременное и полное исполнение муниципальных долговых обязательств при минимизации расходов на их обслуживание, поддержание объема и структуры обязательств, исключающих их неисполнение.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Основные направления долговой политики  муниципального образования "Зуевский сельсовет" Солнцевского района на 2022 год и на плановый период 2023 и 2024 годов  устанавливают основные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муниципальным долгом муниципального образования "Зуевский сельсовет" Солнцевского района  Курской области.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2. Итоги реализации долговой политики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состоянию на 1 января 2021 года муниципальный долг у муниципального образования "Зуевский сельсовет" Солнцевского района Курской области отсутствует.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Ежегодно решением о бюджете муниципального образования "Зуевский сельсовет" Солнцевского района Курской области утверждается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а также программа муниципальных внутренних заимствований и программа муниципальных гарантий на соответствующий год в соответствии с бюджетным законодательством Российской Федерации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3. Основные факторы, определяющие характер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 направления долговой политики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Долговая политика принимается в соответствии с текущими особенностями развития экономики района, региона и Российской Федерации в целом, а также требованиями бюджетного законодательства Российской Федерации.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Основными факторами, определяющими характер и направления долговой политики, являются:</w:t>
      </w:r>
    </w:p>
    <w:p>
      <w:pPr>
        <w:spacing w:before="0" w:after="0" w:line="24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изменения, вносимые в бюджетное законодательство Российской Федерации и законодательство Российской Федерации о налогах и сборах, которые в сопоставимом виде приводят к диспропорции между доходами и расходами местного бюджета;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изменения, внесенные в Бюджетный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кодекс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Российской Федерации в части оценки долговой устойчивости муниципальных образований и их ранжирования в зависимости от уровня долговой устойчивости;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нестабильность конъюнктуры рынка услуг по предоставлению кредитов кредитными организациями.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4. Цели и задачи долговой политики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Целями долговой политики являются:</w:t>
      </w:r>
    </w:p>
    <w:p>
      <w:pPr>
        <w:spacing w:before="0" w:after="0" w:line="24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сбалансированности и долговой устойчивости местного бюджета;</w:t>
      </w:r>
    </w:p>
    <w:p>
      <w:pPr>
        <w:spacing w:before="0" w:after="0" w:line="24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минимизация расходов на обслуживание муниципального долга;</w:t>
      </w:r>
    </w:p>
    <w:p>
      <w:pPr>
        <w:spacing w:before="0" w:after="0" w:line="24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исполнения долговых обязательств в полном объеме и в установленные сроки.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Задачи, которые необходимо решить при реализации долговой политики: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осуществление муниципальных заимствований в соответствии с реальными потребностями местного бюджета;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безусловное соблюдение требований бюджетного законодательства в части параметров дефицита бюджета и муниципального долга;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безоговорочное соблюдение ограничений, установленных Бюджетным кодексом Российской Федерации.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5. Инструменты реализации долговой политики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Инструментами реализации долговой политики являются:</w:t>
      </w:r>
    </w:p>
    <w:p>
      <w:pPr>
        <w:spacing w:before="0" w:after="0" w:line="240"/>
        <w:ind w:right="0" w:left="0" w:firstLine="56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 направление дополнительных доходов, полученных при исполнении местного бюджета, на досрочное погашение долговых обязательств;</w:t>
      </w:r>
    </w:p>
    <w:p>
      <w:pPr>
        <w:spacing w:before="0" w:after="0" w:line="240"/>
        <w:ind w:right="0" w:left="0" w:firstLine="56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 недопущение принятия новых расходных обязательств, не обеспеченных стабильными источниками финансирования;</w:t>
      </w:r>
    </w:p>
    <w:p>
      <w:pPr>
        <w:spacing w:before="0" w:after="0" w:line="240"/>
        <w:ind w:right="0" w:left="0" w:firstLine="56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 эффективное управление свободными остатками средств местного бюджета;</w:t>
      </w:r>
    </w:p>
    <w:p>
      <w:pPr>
        <w:spacing w:before="0" w:after="0" w:line="240"/>
        <w:ind w:right="0" w:left="0" w:firstLine="56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 осуществление муниципальных внутренних заимствований в соответствии с Федеральным законом от 05 апреля 2013 года N 44-ФЗ «О контрактной системе в сфере закупок товаров, работ, услуг для обеспечения государственных и муниципальных нужд» с учетом планируемых кассовых разрывов, обеспечения равномерного распределения долговой нагрузки по годам, увеличения сроков заимствований в момент максимального благоприятствования, когда стоимость привлекаемых финансовых ресурсов минимальна;</w:t>
      </w:r>
    </w:p>
    <w:p>
      <w:pPr>
        <w:spacing w:before="0" w:after="0" w:line="240"/>
        <w:ind w:right="0" w:left="0" w:firstLine="56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 использование всех возможностей по привлечению бюджетных кредитов из бюджета субъекта по причине их наименьшей стоимости;</w:t>
      </w:r>
    </w:p>
    <w:p>
      <w:pPr>
        <w:spacing w:before="0" w:after="0" w:line="240"/>
        <w:ind w:right="0" w:left="0" w:firstLine="56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6) осуществление мониторинга соответствия параметров муниципального долга ограничениям, установленным Бюджетным кодексом Российской Федерации.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6. Анализ рисков для бюджета, возникающих в процессе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управления муниципальным долгом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Основными рисками при управлении муниципальным долгом являются: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риск недостижения планируемых объемов поступлений доходов местного бюджета - недопоступление доходов потребует поиска альтернативных источников для выполнения принятых расходных обязательств бюджета и обеспечения его сбалансированности;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процентный риск - вероятность увеличения суммы расходов местного бюджета на обслуживание муниципального долга вследствие увеличения процентных ставок;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риск ликвидности - отсутствие на едином счете местного бюджета необходимых средств для полного исполнения расходных и долговых обязательств муниципального образования в срок.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Основными мерами, принимаемыми в отношении управления рисками, связанными с реализацией долговой политики, являются: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достоверное прогнозирование доходов местного бюджета и поступлений по источникам финансирования дефицита бюджета;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планирование муниципальных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принятие взвешенных и экономически обоснованных решений по принятию долговых обязательств. </w:t>
      </w:r>
    </w:p>
    <w:p>
      <w:pPr>
        <w:spacing w:before="0" w:after="0" w:line="240"/>
        <w:ind w:right="0" w:left="0" w:firstLine="56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882944DA6ADFB0AD1BF40F829DA30DBABFFA9B633C52D47BFB4CE50F74013640F69FC7EB7A568D05957F371F2E072E3DC4D82A733AD7y9xBI" Id="docRId0" Type="http://schemas.openxmlformats.org/officeDocument/2006/relationships/hyperlink"/><Relationship TargetMode="External" Target="consultantplus://offline/ref=882944DA6ADFB0AD1BF40F829DA30DBABFFA9B633C52D47BFB4CE50F74013640E49F9FE37A57930FC130714A22y0xCI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