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708" w:leader="none"/>
        </w:tabs>
        <w:spacing w:before="0" w:after="160" w:line="259"/>
        <w:ind w:right="0" w:left="3060" w:firstLine="0"/>
        <w:jc w:val="left"/>
        <w:rPr>
          <w:rFonts w:ascii="Calibri" w:hAnsi="Calibri" w:cs="Calibri" w:eastAsia="Calibri"/>
          <w:b/>
          <w:i/>
          <w:color w:val="auto"/>
          <w:spacing w:val="0"/>
          <w:position w:val="0"/>
          <w:sz w:val="22"/>
          <w:shd w:fill="auto" w:val="clear"/>
        </w:rPr>
      </w:pPr>
      <w:r>
        <w:rPr>
          <w:rFonts w:ascii="Calibri" w:hAnsi="Calibri" w:cs="Calibri" w:eastAsia="Calibri"/>
          <w:b/>
          <w:i/>
          <w:color w:val="auto"/>
          <w:spacing w:val="0"/>
          <w:position w:val="0"/>
          <w:sz w:val="22"/>
          <w:shd w:fill="auto" w:val="clear"/>
        </w:rPr>
        <w:tab/>
      </w:r>
      <w:r>
        <w:rPr>
          <w:rFonts w:ascii="Calibri" w:hAnsi="Calibri" w:cs="Calibri" w:eastAsia="Calibri"/>
          <w:color w:val="auto"/>
          <w:spacing w:val="0"/>
          <w:position w:val="0"/>
          <w:sz w:val="22"/>
          <w:shd w:fill="auto" w:val="clear"/>
        </w:rPr>
        <w:t xml:space="preserve"> </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АДМИНИСТРАЦИЯ </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ЗУЕВСКОГО СЕЛЬСОВЕТА</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СОЛНЦЕВСКОГО РАЙОНА КУРСКОЙ ОБЛАСТИ</w:t>
      </w:r>
    </w:p>
    <w:p>
      <w:pPr>
        <w:spacing w:before="0" w:after="0" w:line="240"/>
        <w:ind w:right="0" w:left="0" w:firstLine="0"/>
        <w:jc w:val="center"/>
        <w:rPr>
          <w:rFonts w:ascii="Arial" w:hAnsi="Arial" w:cs="Arial" w:eastAsia="Arial"/>
          <w:b/>
          <w:color w:val="auto"/>
          <w:spacing w:val="0"/>
          <w:position w:val="0"/>
          <w:sz w:val="32"/>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ПОСТАНОВЛЕНИЕ</w:t>
      </w:r>
    </w:p>
    <w:p>
      <w:pPr>
        <w:spacing w:before="0" w:after="0" w:line="240"/>
        <w:ind w:right="0" w:left="0" w:firstLine="72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  от 21 декабря 2021 года №130</w:t>
      </w:r>
    </w:p>
    <w:p>
      <w:pPr>
        <w:spacing w:before="0" w:after="0" w:line="240"/>
        <w:ind w:right="0" w:left="0" w:firstLine="0"/>
        <w:jc w:val="left"/>
        <w:rPr>
          <w:rFonts w:ascii="Arial" w:hAnsi="Arial" w:cs="Arial" w:eastAsia="Arial"/>
          <w:color w:val="auto"/>
          <w:spacing w:val="0"/>
          <w:position w:val="0"/>
          <w:sz w:val="32"/>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ОБ УТВЕРЖДЕНИИ АДМИНИСТРАТИВНОГО РЕГЛАМЕНТА ПРЕДОСТАВЛЕНИЯ МУНИЦИПАЛЬНОЙ УСЛУГИ ПО СОГЛАСОВАНИЮ ПРОЕКТА ИНФОРМАЦИОННОЙ</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НАДПИСИ И ОБОЗНАЧЕНИЯ НА ОБЪЕКТЕ КУЛЬТУРНОГО НАСЛЕДИЯ (ПАМЯТНИКЕ ИСТОРИИ И КУЛЬТУРЫ) НАРОДОВ РОССИЙСКОЙ ФЕДЕРАЦИИ МЕСТНОГО (МУНИЦИПАЛЬНОГО) ЗНАЧЕНИЯ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соответствии с Федеральным законом от 27.07.2010 № 210-ФЗ «Об организации предоставления государственных и муниципальных услуг» Администрация Зуевского   сельсовета Солнцевского района Постановляет:</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Утвердить административный регламент предоставления муниципальной услуги по согласованию проекта информационной надписи и обозначения на объекте культурного наследия (памятнике истории и культуры) народов Российской Федерации местного (муниципального) значения (приложение).</w:t>
      </w:r>
    </w:p>
    <w:p>
      <w:pPr>
        <w:suppressLineNumbers w:val="true"/>
        <w:tabs>
          <w:tab w:val="left" w:pos="0" w:leader="none"/>
        </w:tabs>
        <w:spacing w:before="0" w:after="160" w:line="259"/>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2. Контроль за исполнением настоящего постановления оставляю за собой.</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Постановление вступает в силу со дня, следующего за днем его официального опубликования.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Глава Зуевского   сельсовета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 М.А.Стрекалова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w:t>
      </w:r>
    </w:p>
    <w:p>
      <w:pPr>
        <w:spacing w:before="0" w:after="0" w:line="240"/>
        <w:ind w:right="0" w:left="3828"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постановлению Администрации </w:t>
      </w:r>
    </w:p>
    <w:p>
      <w:pPr>
        <w:spacing w:before="0" w:after="0" w:line="240"/>
        <w:ind w:right="0" w:left="3828"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Зуевского   сельсовета Солнцевского района Курской  области</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 21.12.2021 г. № 130</w:t>
      </w:r>
    </w:p>
    <w:p>
      <w:pPr>
        <w:spacing w:before="0" w:after="0" w:line="240"/>
        <w:ind w:right="0" w:left="0" w:firstLine="0"/>
        <w:jc w:val="left"/>
        <w:rPr>
          <w:rFonts w:ascii="Arial" w:hAnsi="Arial" w:cs="Arial" w:eastAsia="Arial"/>
          <w:b/>
          <w:color w:val="auto"/>
          <w:spacing w:val="0"/>
          <w:position w:val="0"/>
          <w:sz w:val="28"/>
          <w:shd w:fill="auto" w:val="clear"/>
        </w:rPr>
      </w:pPr>
    </w:p>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АДМИНИСТРАТИВНЫЙ</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РЕГЛАМЕНТ</w:t>
      </w:r>
    </w:p>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ПРЕДОСТАВЛЕНИЯ</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МУНИЦИПАЛЬНОЙ</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УСЛУГИ</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ПО</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СОГЛАСОВАНИЮ</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ПРОЕКТАИНФОРМАЦИОННОЙ</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НАДПИСИ</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И</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ОБОЗНАЧЕНИЯ</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НА</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ОБЪЕКТЕ</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КУЛЬТУРНОГОНАСЛЕДИЯ</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ПАМЯТНИКЕ</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ИСТОРИИ</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И</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КУЛЬТУРЫ</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НАРОДОВ</w:t>
      </w:r>
    </w:p>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РОССИЙСКОЙ</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ФЕДЕРАЦИИ</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МЕСТНОГО</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МУНИЦИПАЛЬНОГО</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ЗНАЧЕНИЯ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Общие положения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 Административный регламент предоставления муниципальной услуги по согласованию проекта информационной надписи и обозначения на объекте культурного наследия (памятнике истории и культуры) народов Российской Федерации местного (муниципального) значения (далее - административный регламент) разработан в целях оптимизации (повышения качества) предоставления муниципальной услуги и доступности ее результата, определяет порядок и стандарт предоставления муниципальной услуги по согласованию проекта информационной надписи и обозначения на объекте культурного наследия (памятнике истории и культуры) народов Российской Федерации местного (муниципального) значения (далее - объект культурного наследия).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 Заявителями при предоставлении муниципальной услуги по согласованию проекта информационной надписи и обозначения на объекте культурного наследия (памятнике истории и культуры) народов Российской Федерации местного (муниципального) значения (далее - муниципальная услуга) являются лица, указанные в пункте 11 статьи 47.6 Федерального закона «Об объектах культурного наследия (памятниках истории и культуры) народов Российской Федерации» (далее - заявители).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или иного документа, удостоверяющего личность, или посредством идентификации и аутентификации в органе, предоставляющем муниципальную услугу с использованием информационных технологий, предусмотренных частью 8 статьи 14.1 Федерального закона от 27.07.2006 № 149-ФЗ «Об информации, информационных технологиях и о защите информации».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 Муниципальная услуга предоставляется администрацией Зуевского   сельсовета(далее – администрация) </w:t>
      </w:r>
      <w:r>
        <w:rPr>
          <w:rFonts w:ascii="Arial" w:hAnsi="Arial" w:cs="Arial" w:eastAsia="Arial"/>
          <w:i/>
          <w:color w:val="auto"/>
          <w:spacing w:val="0"/>
          <w:position w:val="0"/>
          <w:sz w:val="24"/>
          <w:shd w:fill="auto" w:val="clear"/>
        </w:rPr>
        <w:t xml:space="preserve">(возможно указать структурное подразделение администрации и ввести сокращенное его наименование, которое будет использоваться по тексту регламента вместо администрации)</w:t>
      </w:r>
      <w:r>
        <w:rPr>
          <w:rFonts w:ascii="Arial" w:hAnsi="Arial" w:cs="Arial" w:eastAsia="Arial"/>
          <w:color w:val="auto"/>
          <w:spacing w:val="0"/>
          <w:position w:val="0"/>
          <w:sz w:val="24"/>
          <w:shd w:fill="auto" w:val="clear"/>
        </w:rPr>
        <w:t xml:space="preserve">.</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Место нахождения администрации: Курская область, Солнцевский район, с.Зуевка,ул.Центральная ,д.8.</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Почтовый адрес администрации: 306137, Курская область, Солнцевский район, с.Зуевка,ул.Центральная ,д.8.</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График работы администрации: 9-00-17-00 часов.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Телефоны администрации: 8(47154)3-24-19</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Адрес электронной почты администрации: adm.zuevka@mail.ru</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 Информация о предоставлении муниципальной услуги размещается на официальном сайте администрации в информационно-телекоммуникационной сети «Интернет»: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http://zuevadm.ru/</w:t>
        </w:r>
      </w:hyperlink>
      <w:r>
        <w:rPr>
          <w:rFonts w:ascii="Arial" w:hAnsi="Arial" w:cs="Arial" w:eastAsia="Arial"/>
          <w:color w:val="auto"/>
          <w:spacing w:val="0"/>
          <w:position w:val="0"/>
          <w:sz w:val="24"/>
          <w:shd w:fill="auto" w:val="clear"/>
        </w:rPr>
        <w:t xml:space="preserve">  ) , в федеральной государственной информационной системе «Единый портал государственных и муниципальных услуг (функций)»: http://gosuslugi.ru (далее - Единый портал), на информационных стендах администрации.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 Предоставление информации заявителям по вопросам предоставления муниципальной услуги, в том числе о ходе предоставления муниципальной услуги, производится специалистом администрации.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Консультации предоставляются в устной форме при личном обращении, посредством телефонной связи. При консультировании заявителю дается точный и исчерпывающий ответ на поставленные вопросы.</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ответ на поставленный вопрос не может быть дан специалистом администрации самостоятельно или подготовка ответа требует продолжительного времени, заявителю должно быть предложено направить письменное обращение либо назначено другое время для получения информации.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Консультирование в устной форме при личном обращении осуществляется в пределах 15 минут.</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Обращение по телефону допускается в течение установленного рабочего времени.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Консультирование по телефону осуществляется в пределах 5 минут. При консультировании по телефону специалист администрации должен назвать свою фамилию, имя, отчество, должность, а затем в вежливой форме дать точный и понятный ответ на поставленные вопросы.</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Письменное обращение о порядке предоставления муниципальной услуги должно быть рассмотрено не позднее 30 дней с даты его регистрации.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Стандарт предоставления муниципальной услуги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 Наименование муниципальной услуги: согласование проекта информационной надписи и обозначения на объекте культурного наследия (памятнике истории и культуры) народов Российской Федерации местного (муниципального) значения.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 Органом, предоставляющим муниципальную услугу, является администрация</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Зуевского   сельсовета Солнцевского района.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предоставлении муниципальной услуги соблюдаются запреты, установленные статьей 7 Федерального закона от 27.07.2010 № 210-ФЗ «Об организации предоставления государственных и муниципальных услуг» (далее -Федеральный закон от 27.07.2010 № 210-ФЗ), в том числе запрет  требовать от заявителяосуществления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администрацией Зуевского   сельсовета Солнцевского района.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 Результатом предоставления муниципальной услуги является направление заявителю:</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заказным почтовым отправлением с уведомлением о вручении либо в форме электронного документа посредством информационно-телекоммуникационной сети «Интернет» письма о согласовании проекта информационной надписи и обозначения на объекте культурного наследия (далее - письмо о согласовании проекта) и утвержденного проекта, подписанных усиленной квалифицированной электронной подписью главы администрации  на электронном носителе в формате документа (PDF);</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заказным почтовым отправлением с уведомлением о вручении либо в форме электронного документа посредством информационно-телекоммуникационной сети «Интернет» письма об отказе в согласовании проекта информационной надписи и обозначения на объекте культурного наследия с указанием основания отказа (далее - письмо об отказе в согласовании проекта).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2.4. Общий срок предоставления муниципальной услуги составляет 30 дней со дня поступления заявления о предоставлении муниципальной услуги в администрацию, включая срок выдачи (направления) документов, являющихся результатом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Оснований для приостановления предоставления муниципальной услуги не установлено.</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2.5. Правовые основания для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Федеральный закон от 25.06.2002 № 73-ФЗ «Об объектах культурного наследия (памятниках истории и культуры) народов Российской Федерации»;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постановление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установка»(далее - постановление Правительства РФ № 1178).</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 Исчерпывающий перечень документов, необходимых для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заявление о согласовании проекта информационной надписи и обозначения на объекте культурного наследия (памятнике истории и культуры) народов Российской Федерации местного (муниципального) значения (далее - заявление) согласно приложению к административному регламенту;</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проект информационной надписи и обозначения на объекте культурного наследия (далее - проект), оформленный в электронном виде на электронном носителе в формате документа (PDF);</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документ, подтверждающий полномочия представителя физического или юридического лица;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правоустанавливающий документ на объект недвижимости, права на который не зарегистрированы в Едином государственном реестре недвижимости (далее - ЕГРН);</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выписка из ЕГРН об объекте недвижимости;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сведения из Единого государственного реестра объектов культурного наследия (памятников истории и культуры) народов Российской Федерации, размещенного на сайте Министерства культуры Российской Федерации по адресу: </w:t>
      </w:r>
      <w:hyperlink xmlns:r="http://schemas.openxmlformats.org/officeDocument/2006/relationships" r:id="docRId1">
        <w:r>
          <w:rPr>
            <w:rFonts w:ascii="Arial" w:hAnsi="Arial" w:cs="Arial" w:eastAsia="Arial"/>
            <w:color w:val="0000FF"/>
            <w:spacing w:val="0"/>
            <w:position w:val="0"/>
            <w:sz w:val="24"/>
            <w:u w:val="single"/>
            <w:shd w:fill="auto" w:val="clear"/>
          </w:rPr>
          <w:t xml:space="preserve">http://mkrf.ru/ais-egrkn/</w:t>
        </w:r>
      </w:hyperlink>
      <w:r>
        <w:rPr>
          <w:rFonts w:ascii="Arial" w:hAnsi="Arial" w:cs="Arial" w:eastAsia="Arial"/>
          <w:color w:val="auto"/>
          <w:spacing w:val="0"/>
          <w:position w:val="0"/>
          <w:sz w:val="24"/>
          <w:shd w:fill="auto" w:val="clear"/>
        </w:rPr>
        <w:t xml:space="preserve">.</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Документ, указанный в абзаце шестом настоящего пункта, запрашивается в порядке межведомственного информационного взаимодействия в Управлении Федеральной службы государственной регистрации, кадастра и картографии по Курской   области.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Документ, указанный в абзаце седьмом настоящего пункта, запрашивается с использованием официального сайта Министерства культуры Российской Федерации в информационно-телекоммуникационной сети «Интернет».</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вправе предоставить полный комплект документов, необходимых для предоставления муниципальной услуги, самостоятельно.</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2.7. Основания для отказа в приеме заявления отсутствуют.</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2.8. Исчерпывающий перечень оснований для отказа в предоставлении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отсутствие у лица полномочий на подачу заявления;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непредоставление заявителем документов, предусмотренных пунктом 2.6 настоящего раздела административного регламента, обязанность по предоставлению которых возложена на заявителя;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несоответствие заявителя требованиям, указанным в абзаце первом пункта 1.2 раздела 1 административного регламента.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2.9. Исчерпывающий перечень оснований для отказа в согласовании проекта: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несоответствие содержания проекта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несоответствие проекта содержанию информационных надписей и обозначений на объектах культурного наследия (памятниках истории и культуры) народов Российской Федерации и требованиям к составу проектов установки и содержания информационных надписей и обозначений, на основании которых осуществляется такая установка, утвержденным постановлением Правительства РФ № 1178;</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несоответствие утвержденному органом охраны объектов культурного наследия предмету охраны объекта культурного наследия.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2.10. Предоставление муниципальной услуги осуществляется без взимания платы с заявителей.</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2.11. Максимальный срок ожидания в очереди при подаче заявления - 15 минут. Максимальный срок ожидания в очереди при получении результата предоставления муниципальной услуги - 15 минут. Максимальный срок регистрации заявления и представленных документов - 1 день.</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Ошибки, опечатки в выданных в результате предоставления муниципальной услуги документах подлежат исправлению в течение 5 дней со дня регистрации соответствующего заявления.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администрации, плата с заявителя не взимается.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2.12. Требования к местам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Места предоставления муниципальной услуги (места информирования, ожидания и приема заявителей) располагаются в здании администрации Зуевского   сельсовета.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местах предоставления муниципальной услуги предусматривается возможность доступа к местам общего пользования (туалетам).</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Места информирования, предназначенные для ознакомления граждан с информационными материалами и заполнения заявлений, оборудуются информационными стендами с указанием перечня документов, необходимых для получения муниципальной услуги, письменными столами и стульями.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Информационные стенды должны содержать примерные образцы заполнения заявления и перечень документов, необходимых для предоставления муниципальной услуги, а также текст административного регламента, извлечения из нормативных правовых актов, регулирующих предоставление муниципальной услуги, график приема заявителей, номера телефонов для получения справочной информации.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Места ожидания и приема должны иметь условия, удобные для граждан. Места ожидания и приема оборудуются стульями и должны соответствовать установленным санитарным, противопожарным и иным обязательными нормам и правилам.</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целях организации беспрепятственного доступа инвалидов к месту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пути движения к входу в здание администрации, вход в здание, путь движения к месту предоставления муниципальной услуги, место ожидания, информирования и приема оборудуются в соответствии с требованиями норм и правил, обеспечивающих доступность для инвалидов;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обеспечивается оказание помощи инвалидам в преодолении барьеров, мешающих им в получении муниципальной услуги наравне с другими лицами;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2.13.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Административные процедуры</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 Предоставление муниципальной услуги включает следующие административные процедуры:</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прием и регистрация заявления и прилагаемых к нему документов - 1 день;</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рассмотрение заявления и прилагаемых к нему документов, получение документов в рамках межведомственного информационного взаимодействия, при наличии оснований подготовка и направление письма об отказе в предоставлении муниципальной услуги - 15 дней;</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-рассмотрение проекта, подготовка письма о согласовании проекта или письма об отказе в согласовании проекта - 13 дней;</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направление заявителю письма о согласовании проекта или письма об отказе в согласовании проекта - 1 день.</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 Прием и регистрация заявления и прилагаемых к нему документов.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обращение заявителя в администрацию с заявлением и документами в соответствии с пунктом 2.6 раздела 2 административного регламента.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Специалист   администрации Зуевского   сельсовета Солнцевского района: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устанавливает личность заявителя;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сличает представленные экземпляры оригиналов и копий документов либо делает копии с оригиналов документов при необходимости возврата оригиналов документов заявителю, выполняет на копиях надпись "копия верна", заверяет их своей подписью с указанием фамилии и инициалов;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регистрирует заявление и предоставленные документы;</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по желанию заявителя ставит отметку о принятии документов к рассмотрению на втором экземпляре заявления, который возвращается заявителю;</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передает заявление и приложенные к нему документы на рассмотрение Администрации Зуевского   сельсовета Солнцевского района.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Максимальный срок исполнения административной процедуры составляет 1 день.</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3.3.Рассмотрение заявления и прилагаемых к нему документов, получение документов в рамках межведомственного информационного взаимодействия, при наличии оснований принятие решения об отказе в предоставлении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получение Администрацией Зуевского   сельсовета Солнцевского района заявления и прилагаемых к нему документов</w:t>
      </w:r>
      <w:r>
        <w:rPr>
          <w:rFonts w:ascii="Arial" w:hAnsi="Arial" w:cs="Arial" w:eastAsia="Arial"/>
          <w:i/>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Начальник   администрации Зуевского   сельсовета Солнцевского района в течение 1 дня рассматривает заявление и прилагаемые к нему документы и налагает резолюцию с поручением специалисту   администрации  Зуевского   сельсовета Солнцевского района о рассмотрении и проверке заявления и прилагаемых к нему документов, после чего передает заявление и прилагаемые к нему документы специалисту Администрации Зуевского   сельсовета Солнцевского района.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Специалист Администрации Зуевского   сельсовета Солнцевского района  (далее – специалист) при непредставлении заявителем документов, указанных в абзацах шестом и седьмом пункта 2.6 раздела 2 административного регламента, в течение 2 дней направляет межведомственный запрос в соответствующие органы либо получает необходимые документы (сведения) из официальных источников опубликования.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После получения полного комплекта документов, указанных в пункте 2.6 раздела 2 административного регламента, специалист устанавливает наличие или отсутствие обстоятельств, указанных в пункте 2.8 раздела 2 административного регламента.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наличии указанных обстоятельств специалист оформляет решение об отказе в предоставлении муниципальной услуги путем подготовки заявителю проекта письма за подписью , об отказе в предоставлении муниципальной услуги с указанием причин такого отказа и передает два экземпляра проекта данного письма на подпись Администрации Зуевского   сельсовета Солнцевского района.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Администрация Зуевского   сельсовета Солнцевского района подписывает письмо заявителю об отказе в предоставлении муниципальной услуги в течение одного дня со дня его поступления от специалиста.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Письмо об отказе в предоставлении муниципальной услуги направляется заявителю не позднее следующего дня за днем его подписания.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Максимальный срок исполнения административной процедуры составляет 15 дней.</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 При отсутствии обстоятельств, указанных в пункте 2.8 раздела 2 административного регламента, специалист проводит проверку соответствия проекта требованиям, установленным постановлением Правительства РФ         № 1178, устанавливает наличие или отсутствие обстоятельств, указанных в пункте 2.9 раздела 2 административного регламента.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отсутствии указанныхобстоятельств, специалист осуществляет подготовку проекта письма о согласовании проекта, при их наличии - проекта письма об отказе в согласовании проекта с указанием причин отказа.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Два экземпляра проекта письма о согласовании проекта или проекта письма об отказе в согласовании проекта, а также проект специалист передает на подпись и утверждение Администрации Зуевского   сельсовета Солнцевского района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Администрация Зуевского   сельсовета Солнцевского района подписывает письмо заявителю и утверждает проект в течение одного дня со дня его поступления от специалиста.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Максимальный срок исполнения административной процедуры составляет 13 дней.</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 Направление заявителю письма о согласовании проекта или письма об отказе в согласовании проекта.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Специалист </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 Администрации Зуевского   сельсовета Солнцевского района регистрирует подписанное письмо о согласовании проекта или письмо об отказе в согласовании проекта и направляет его заказным почтовым отправлением с уведомлением о вручении либо в форме электронного документа посредством информационно-телекоммуникационной сети «Интернет» с утвержденным проектом (в случае его утверждения).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Максимальный срок исполнения административной процедуры составляет 1 день.</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Формы контроля за исполнением</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административного регламента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4.1.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Администрацией Зуевского   сельсовета Солнцевского района непосредственно при предоставлении муниципальной услуги, а также путем организации проведения проверок в ходе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Последующий контроль за исполнением административного регламента осуществляется Администрацией Зуевского   сельсовета Солнцевского района путем проведения плановых и внеплановых проверок.</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результатам проверок Администрация Зуевского   сельсовета Солнцевского района дает указания по устранению выявленных нарушений и контролирует их исполнение.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Текущий и последующий контроль может включать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 По результатам проверок лица, допустившие нарушения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Досудебный (внесудебный) порядок обжалования решений</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действий (бездействия) администрации, а также должностных</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лиц и муниципальных служащих администрации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5.1. 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5.2. Предметом досудебного (внесудебного) обжалования могут быть решения и действия (бездействие), принимаемые (осуществляемые) в ходе предоставления муниципальной услуги, в том числе: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нарушение срока регистрации запроса заявителя о предоставлении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нарушение срока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законами и иными нормативными правовыми актами Курской   области, муниципальными правовыми актами для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 нарушение срока или порядка выдачи документов по результатам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5.3. Жалоба подается в письменной форме на бумажном носителе либо в электронной форме.</w:t>
      </w:r>
    </w:p>
    <w:p>
      <w:pPr>
        <w:spacing w:before="0" w:after="0" w:line="240"/>
        <w:ind w:right="0" w:left="0" w:firstLine="540"/>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Жалоба на решения и действия (бездействие) начальника Администрации Зуевского   сельсовета Солнцевского района подается главе администрации.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Жалоба на решения и действия (бездействие) главы администрации рассматривается главой администрации.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5.4. Жалоба может быть направлена по почте, с использованием официального сайта администрации в информационно-телекоммуникационной сети «Интернет», Единого портала, а также может быть принята при личном приеме заявителя.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5.5. Жалоба должна содержать:</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наименование администрации, должностного лица либо муниципального служащего администрации, решения и действия (бездействие) которых обжалуются;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сведения об обжалуемых решениях и действиях (бездействии) администрации, должностного лица либо муниципального служащего администрации;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 Заявителем могут быть предоставлены документы (при наличии), подтверждающие доводы заявителя, либо их копии.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5.6.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 в течение 5 рабочих дней со дня ее регистрации.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5.7. По результатам рассмотрения жалобы принимается одно из следующих решений:</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об отказе в удовлетворении жалобы.</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5.8.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5.9. В случае признания жалобы подлежащей удовлетворению в ответе заявителю, указанном в пункте 5.8 настоящего раздела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5.10. В случае признания жалобы не подлежащей удовлетворению в ответе заявителю, указанном в пункте 5.8 настоящего раздела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5.12. 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Курской   области от 03.12.2007      № 100-з «Об административных правонарушениях», должностное лицо,наделенное полномочиями по рассмотрению жалоб,незамедлительно направляет имеющиеся материалы в департамент информатизации и связи Курской   области.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административному регламенту</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администрацию _________________________________</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от _______________________________________________</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(Ф.И.О. заявителя или наименование юридического лица)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паспорт: серия ______ номер _______________</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физических лиц и индивидуальных предпринимателей)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место регистрации _________________________________</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физических лиц и индивидуальных предпринимателей)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местонахождение __________________________________</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юридических лиц)</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ИНН ______________________ (для юридических лиц)</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в    лице    представителя    (в   случае</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представительства) ________________________________,</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(должность, Ф.И.О.)</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действующего на основании ________________________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(реквизиты документа, подтверждающего полномочия)</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контактный телефон: _____________________</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Заявление</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 согласовании проекта информационной надписи и обозначения</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на объекте культурного наследия (памятнике истории и культуры)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народов Российской Федерации местного (муниципального) значения</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Прошу  согласовать  проект  информационной  надписи  и  обозначения  на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объекте культурного наследия: __________________________________________________________________.</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(наименование объекта)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Кадастровый номер объекта культурного наследия: ___________________.</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Адрес (местонахождение) объекта культурного наследия: __________________________________________________________________.</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Прошу  принятое  решение  направить по почте / направить по электронной почте.(нужное подчеркнуть)</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Приложения:</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________________________________      ______________________</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(должность, ФИО)                                          (подпись)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М.П.</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 ______________ _______ г.</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zuevadm.ru/" Id="docRId0" Type="http://schemas.openxmlformats.org/officeDocument/2006/relationships/hyperlink"/><Relationship TargetMode="External" Target="http://mkrf.ru/ais-egrkn/"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