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2044" w:dyaOrig="1984">
          <v:rect xmlns:o="urn:schemas-microsoft-com:office:office" xmlns:v="urn:schemas-microsoft-com:vml" id="rectole0000000000" style="width:102.200000pt;height:99.2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tabs>
          <w:tab w:val="left" w:pos="2700" w:leader="none"/>
        </w:tabs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АДМИНИСТРАЦИЯ</w:t>
        <w:br/>
        <w:t xml:space="preserve">ЗУЕВСКОГО СЕЛЬСОВЕТА</w:t>
        <w:br/>
        <w:t xml:space="preserve">СОЛНЦЕВСКОГО РАЙОНА КУРСКОЙ ОБЛАСТИ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ПОСТАНОВЛЕНИЕ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от  07  апреля  2021 г. № 43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C0C0C0" w:val="clear"/>
        </w:rPr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Об утверждении муниципальной программы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Энергосбережение  и повышение энергетической эффективности в Зуевском  сельсовете Солнцевского района Курской области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»</w:t>
      </w:r>
    </w:p>
    <w:p>
      <w:pPr>
        <w:spacing w:before="0" w:after="20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соответствии с Бюджетным кодексом Российской Федерации, Федеральным законом от 06.10.2003 года № 131-ФЗ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»,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Уставом муниципального образования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Зуевский   сельсовет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района Курской области, Постановлением администрации Зуевского    сельсовета Солнцевского района Курской области от 15.09.  2020г. № 87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 утверждении порядка разработки, реализации  и оценки эффективности муниципальных программ  муниципального образования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Зуевский   сельсовет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района Курской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Администрация Зуевского    сельсовета Солнцевского района Курской области Постановляет: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1.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Утвердить муниципальную программу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Энергосбережение  и повышение энергетической эффективности в Зуевском     сельсовете Солнцевского района Курской области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tabs>
          <w:tab w:val="left" w:pos="1065" w:leader="none"/>
        </w:tabs>
        <w:spacing w:before="0" w:after="2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Настоящее постановление подлежит обнародованию и размещению на официальном сайте в сети Интернет.</w:t>
      </w:r>
    </w:p>
    <w:p>
      <w:pPr>
        <w:spacing w:before="0" w:after="2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Контроль за исполнением настоящего постановления оставляю за собой.</w:t>
      </w:r>
    </w:p>
    <w:p>
      <w:pPr>
        <w:tabs>
          <w:tab w:val="left" w:pos="1065" w:leader="none"/>
        </w:tabs>
        <w:spacing w:before="0" w:after="20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Постановление вступает в силу с момента подписания .</w:t>
      </w:r>
    </w:p>
    <w:p>
      <w:pPr>
        <w:tabs>
          <w:tab w:val="left" w:pos="1065" w:leader="none"/>
        </w:tabs>
        <w:suppressAutoHyphens w:val="true"/>
        <w:spacing w:before="0" w:after="2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Глава Зуевского     сельсовета</w:t>
      </w:r>
    </w:p>
    <w:p>
      <w:pPr>
        <w:tabs>
          <w:tab w:val="left" w:pos="1065" w:leader="none"/>
        </w:tabs>
        <w:suppressAutoHyphens w:val="true"/>
        <w:spacing w:before="0" w:after="2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района                                                             М.А.Стрекалова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Утверждена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постановлением Администрации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Зуевского    сельсовета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района Курской области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 07.04.2021 года № 43</w:t>
      </w:r>
    </w:p>
    <w:p>
      <w:pPr>
        <w:spacing w:before="0" w:after="0" w:line="276"/>
        <w:ind w:right="-370" w:left="567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Муниципальная программа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Энергосбережение  и повышение энергетической эффективности в Зуевском     сельсовете Солнцевского    района Курской области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П А С П О РТ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tbl>
      <w:tblPr>
        <w:tblInd w:w="108" w:type="dxa"/>
      </w:tblPr>
      <w:tblGrid>
        <w:gridCol w:w="2235"/>
        <w:gridCol w:w="6837"/>
      </w:tblGrid>
      <w:tr>
        <w:trPr>
          <w:trHeight w:val="1" w:hRule="atLeast"/>
          <w:jc w:val="left"/>
        </w:trPr>
        <w:tc>
          <w:tcPr>
            <w:tcW w:w="2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Ответственный исполнитель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  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программы         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6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142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Администрация Зуевского    сельсовета Солнцевского района Курской области</w:t>
            </w:r>
          </w:p>
        </w:tc>
      </w:tr>
      <w:tr>
        <w:trPr>
          <w:trHeight w:val="1" w:hRule="atLeast"/>
          <w:jc w:val="left"/>
        </w:trPr>
        <w:tc>
          <w:tcPr>
            <w:tcW w:w="2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Подпрограммы программы   </w:t>
            </w:r>
          </w:p>
        </w:tc>
        <w:tc>
          <w:tcPr>
            <w:tcW w:w="6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Энергосбережение 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2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Цели программы</w:t>
            </w:r>
          </w:p>
        </w:tc>
        <w:tc>
          <w:tcPr>
            <w:tcW w:w="6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142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Основными целями Программы являются повышение энергетической эффективности при передаче и потреблении энергетических ресурсов, создание условий для перевода экономики и бюджетной сферы муниципального образования на энергосберегающий путь развития. </w:t>
            </w:r>
          </w:p>
          <w:p>
            <w:pPr>
              <w:spacing w:before="0" w:after="0" w:line="240"/>
              <w:ind w:right="0" w:left="0" w:firstLine="142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</w:t>
            </w:r>
          </w:p>
        </w:tc>
      </w:tr>
      <w:tr>
        <w:trPr>
          <w:trHeight w:val="1" w:hRule="atLeast"/>
          <w:jc w:val="left"/>
        </w:trPr>
        <w:tc>
          <w:tcPr>
            <w:tcW w:w="2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Программно-целевые инструменты  программы                                    </w:t>
            </w:r>
          </w:p>
        </w:tc>
        <w:tc>
          <w:tcPr>
            <w:tcW w:w="6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142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отсутствуют</w:t>
            </w:r>
          </w:p>
        </w:tc>
      </w:tr>
      <w:tr>
        <w:trPr>
          <w:trHeight w:val="1" w:hRule="atLeast"/>
          <w:jc w:val="left"/>
        </w:trPr>
        <w:tc>
          <w:tcPr>
            <w:tcW w:w="2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Задачи программы                   </w:t>
            </w:r>
          </w:p>
        </w:tc>
        <w:tc>
          <w:tcPr>
            <w:tcW w:w="6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67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- 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создание оптимальных нормативно-правовых, организационных и экономических условий для реализации стратегии энергоресурсосбережения; </w:t>
            </w:r>
          </w:p>
          <w:p>
            <w:pPr>
              <w:spacing w:before="0" w:after="0" w:line="240"/>
              <w:ind w:right="0" w:left="67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расширение практики применения энергосберегающих технологий при модернизации, реконструкции и капитальном ремонте зданий; </w:t>
            </w:r>
          </w:p>
          <w:p>
            <w:pPr>
              <w:spacing w:before="0" w:after="0" w:line="240"/>
              <w:ind w:right="0" w:left="67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проведение энергетических обследований; </w:t>
            </w:r>
          </w:p>
          <w:p>
            <w:pPr>
              <w:spacing w:before="0" w:after="0" w:line="240"/>
              <w:ind w:right="0" w:left="67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обеспечение учета всего объема потребляемых энергетических ресурсов; </w:t>
            </w:r>
          </w:p>
          <w:p>
            <w:pPr>
              <w:spacing w:before="0" w:after="0" w:line="240"/>
              <w:ind w:right="0" w:left="0" w:firstLine="142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уменьшение потребления энергии и связанных с этим затрат по муниципальным учреждениям в среднем на 15 процентов;</w:t>
            </w:r>
          </w:p>
        </w:tc>
      </w:tr>
      <w:tr>
        <w:trPr>
          <w:trHeight w:val="1" w:hRule="atLeast"/>
          <w:jc w:val="left"/>
        </w:trPr>
        <w:tc>
          <w:tcPr>
            <w:tcW w:w="2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Целевые индикаторы и показатели  программы                                   </w:t>
            </w:r>
          </w:p>
        </w:tc>
        <w:tc>
          <w:tcPr>
            <w:tcW w:w="6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Доля объемов воды, расчеты за которую осуществляются с использованием   приборов учета; </w:t>
            </w:r>
          </w:p>
          <w:p>
            <w:pPr>
              <w:spacing w:before="0" w:after="0" w:line="240"/>
              <w:ind w:right="0" w:left="0" w:firstLine="142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Доля объектов жилищного фонда, имеющих акты энергетических обследований и энергетические паспорта; </w:t>
            </w:r>
          </w:p>
          <w:p>
            <w:pPr>
              <w:spacing w:before="0" w:after="0" w:line="240"/>
              <w:ind w:right="0" w:left="0" w:firstLine="142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Объем потребления электроэнергии системой наружного освещения; </w:t>
            </w:r>
          </w:p>
          <w:p>
            <w:pPr>
              <w:spacing w:before="0" w:after="0" w:line="240"/>
              <w:ind w:right="0" w:left="0" w:firstLine="142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Количество установленных узлов учета холодного водоснабжения в муниципальных учреждениях; </w:t>
            </w:r>
          </w:p>
        </w:tc>
      </w:tr>
      <w:tr>
        <w:trPr>
          <w:trHeight w:val="1" w:hRule="atLeast"/>
          <w:jc w:val="left"/>
        </w:trPr>
        <w:tc>
          <w:tcPr>
            <w:tcW w:w="2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Этапы и сроки реализации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  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программы                                 </w:t>
            </w:r>
          </w:p>
        </w:tc>
        <w:tc>
          <w:tcPr>
            <w:tcW w:w="6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142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2021-2025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годы</w:t>
            </w:r>
          </w:p>
        </w:tc>
      </w:tr>
      <w:tr>
        <w:trPr>
          <w:trHeight w:val="1" w:hRule="atLeast"/>
          <w:jc w:val="left"/>
        </w:trPr>
        <w:tc>
          <w:tcPr>
            <w:tcW w:w="2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Объемы бюджетных ассигнований  программы                                            </w:t>
            </w:r>
          </w:p>
        </w:tc>
        <w:tc>
          <w:tcPr>
            <w:tcW w:w="6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142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Финансирование мероприятий программы осуществляется за счет средств местного бюджета  по годам :</w:t>
            </w:r>
          </w:p>
          <w:p>
            <w:pPr>
              <w:spacing w:before="0" w:after="0" w:line="240"/>
              <w:ind w:right="0" w:left="0" w:firstLine="142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- 2021 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год - 1000,00 рублей;</w:t>
            </w:r>
          </w:p>
          <w:p>
            <w:pPr>
              <w:spacing w:before="0" w:after="0" w:line="240"/>
              <w:ind w:right="0" w:left="0" w:firstLine="142"/>
              <w:jc w:val="both"/>
              <w:rPr>
                <w:rFonts w:ascii="Arial" w:hAnsi="Arial" w:cs="Arial" w:eastAsia="Arial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-2022 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год - 2000,00 рубля;</w:t>
            </w:r>
          </w:p>
          <w:p>
            <w:pPr>
              <w:spacing w:before="0" w:after="0" w:line="240"/>
              <w:ind w:right="0" w:left="0" w:firstLine="142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-2023 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год - 2000,00 рубля;</w:t>
            </w:r>
          </w:p>
          <w:p>
            <w:pPr>
              <w:spacing w:before="0" w:after="0" w:line="240"/>
              <w:ind w:right="0" w:left="0" w:firstLine="142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-2024 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год - 2000,00 рубля;</w:t>
            </w:r>
          </w:p>
          <w:p>
            <w:pPr>
              <w:spacing w:before="0" w:after="0" w:line="240"/>
              <w:ind w:right="0" w:left="0" w:firstLine="142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-2025 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год - 2000,00 рубля;</w:t>
            </w:r>
          </w:p>
        </w:tc>
      </w:tr>
      <w:tr>
        <w:trPr>
          <w:trHeight w:val="1" w:hRule="atLeast"/>
          <w:jc w:val="left"/>
        </w:trPr>
        <w:tc>
          <w:tcPr>
            <w:tcW w:w="2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Ожидаемые результаты реализации  программы                                              </w:t>
            </w:r>
          </w:p>
        </w:tc>
        <w:tc>
          <w:tcPr>
            <w:tcW w:w="6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-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экономия потребления воды в муниципальных учреждениях; </w:t>
            </w:r>
          </w:p>
          <w:p>
            <w:pPr>
              <w:spacing w:before="0" w:after="0" w:line="240"/>
              <w:ind w:right="0" w:left="0" w:firstLine="142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-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экономия электрической энергии в системах наружного освещения; </w:t>
            </w:r>
          </w:p>
          <w:p>
            <w:pPr>
              <w:spacing w:before="0" w:after="0" w:line="240"/>
              <w:ind w:right="0" w:left="0" w:firstLine="142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-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наличие в органах местного самоуправления, муниципальных учреждениях, муниципальных унитарных предприятиях актов энергетических обследований и энергетических паспортов на уровне 100 процентов от общего количества учреждений; </w:t>
            </w:r>
          </w:p>
          <w:p>
            <w:pPr>
              <w:spacing w:before="0" w:after="0" w:line="240"/>
              <w:ind w:right="0" w:left="0" w:firstLine="142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повышение заинтересованности в энергосбережении.</w:t>
            </w:r>
          </w:p>
        </w:tc>
      </w:tr>
    </w:tbl>
    <w:p>
      <w:pPr>
        <w:tabs>
          <w:tab w:val="left" w:pos="3820" w:leader="none"/>
        </w:tabs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820" w:leader="none"/>
        </w:tabs>
        <w:spacing w:before="0" w:after="20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1. </w:t>
      </w: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Характеристика сферы реализации муниципальной  программы.</w:t>
      </w:r>
    </w:p>
    <w:p>
      <w:pPr>
        <w:spacing w:before="100" w:after="10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Ежегодный рост объемов потребляемых  ТЭР, а так же ежегодное повышение цен (тарифов) на энергоносители, обуславливает высокую значимость проблемы энергосбережения и повышения энергетической эффективности на территории Зуевского     сельсовета Солнцевского  района Курской области.</w:t>
      </w:r>
    </w:p>
    <w:p>
      <w:pPr>
        <w:spacing w:before="100" w:after="10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Решение проблемы связано с осуществлением комплекса программных мероприятий по энергосбережению и повышению энергетической эффективности при  потреблении энергетических ресурсов. В первую очередь соответствующие мероприятия должны быть реализованы в бюджетной сфере сельского поселения,  уличном освещении оплачиваемом за счет средств местного бюджета. Комплексный подход к энергосбережению и повышению энергетической эффективности позволит создать условия для повышения уровня жизни населения, роста экономического потенциала, экологической безопасности территории,  повышения уровня благоустройства населенных пунктов, повышения эффективности управления государственным и муниципальным имуществом.</w:t>
      </w:r>
    </w:p>
    <w:p>
      <w:pPr>
        <w:spacing w:before="100" w:after="1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Необходимость решения проблемы энергосбережения и повышения энергетической эффективности программным методом обусловлена рядом причин, в частности:</w:t>
      </w:r>
    </w:p>
    <w:p>
      <w:pPr>
        <w:spacing w:before="100" w:after="1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комплексным характером проблемы, обуславливающей необходимость координации действий и ресурсов  органов местного самоуправления, но также хозяйствующих субъектов и населения;</w:t>
      </w:r>
    </w:p>
    <w:p>
      <w:pPr>
        <w:spacing w:before="100" w:after="10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снижением расходов местного бюджета муниципального образования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Зуевский   сельсовет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района   на оплату потребленных энергетических ресурсов.</w:t>
      </w:r>
    </w:p>
    <w:p>
      <w:pPr>
        <w:spacing w:before="0" w:after="0" w:line="240"/>
        <w:ind w:right="0" w:left="-142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2. </w:t>
      </w: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Факторы, влияющие на процессы энергосбережения.</w:t>
      </w:r>
    </w:p>
    <w:p>
      <w:pPr>
        <w:spacing w:before="0" w:after="0" w:line="240"/>
        <w:ind w:right="0" w:left="-142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Энергосбережение - комплекс мер или действий, предпринимаемых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для обеспечения более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эффективного использования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ресурсов.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Факторы, стимулирующие процессы энергосбережения: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рост стоимости энергоресурсов;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повышение качества и количества приборов учета энергоресурсов, автоматизация процессов энергопотребления;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повышение качества эксплуатации муниципального жилищного фонда.</w:t>
      </w:r>
    </w:p>
    <w:p>
      <w:pPr>
        <w:spacing w:before="0" w:after="0" w:line="240"/>
        <w:ind w:right="0" w:left="-142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-142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3. </w:t>
      </w: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Цели и задачи программы.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Основными целями программы являются повышение энергетической эффективности при производстве, передаче и потреблении энергетических ресурсов на территории Зуевского    сельсовета создание условий для перевода экономики и бюджетной сферы муниципального образования на энергосберегающий путь развития.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Для достижения поставленных целей в ходе реализации Программы органам местного самоуправления необходимо решить следующие задачи: </w:t>
      </w:r>
    </w:p>
    <w:p>
      <w:pPr>
        <w:spacing w:before="0" w:after="55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разработка и принятие системы муниципальных нормативных правовых актов, стимулирующих энергосбережение; </w:t>
      </w:r>
    </w:p>
    <w:p>
      <w:pPr>
        <w:spacing w:before="0" w:after="55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разработка и внедрение типовых форм договоров на поставку топливно-энергетических и коммунальных ресурсов, направленных на стимулирование энергосбережения; </w:t>
      </w:r>
    </w:p>
    <w:p>
      <w:pPr>
        <w:spacing w:before="0" w:after="55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установок;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разработка и внедрение форм наблюдения за показателями, характеризующими эффективность использования основных видов энергетических ресурсов и энергоемкости экономики Зуевского    сельсовета.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расширение практики применения энергосберегающих технологий при модернизации, реконструкции и капитальном ремонте зданий, для этого необходимо: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ресурсоэнергосбережению, соответствующих или превышающих требования федеральных нормативных актов, и обеспечить их соблюдение;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проведение энергосберегающих мероприятий (обеспечение приборами учета коммунальных ресурсов, устройствами регулирования потребления тепловой энергии, утепление фасадов) при капитальном ремонте зданий.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проведение энергетических обследований. Для выполнения данной задачи необходимо организовать работу по проведению энергетических обследований, составлению энергетических паспортов во всех органах местного самоуправления, муниципальных учреждениях, муниципальных унитарных предприятиях;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обеспечение учета всего объема потребляемых энергетических ресурсов;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уменьшение потребления энергии и связанных с этим затрат по муниципальным учреждениям. Для выполнения данной задачи необходимо: </w:t>
      </w:r>
    </w:p>
    <w:p>
      <w:pPr>
        <w:spacing w:before="0" w:after="55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проведение капитального ремонта и модернизации муниципальных зданий и их инженерных систем, внедрение энергоэффективных устройств (оборудования и технологий) с учётом результатов энергоаудита;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учитывать показатели энергоэффективности серийно производимого оборудования при закупках для муниципальных нужд;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повышение уровня компетентности работников Администрации Зуевского    сельсовета и ответственных за энергосбережение сотрудников муниципальных учреждений в вопросах эффективного использования энергетических ресурсов. Для выполнения данной задачи необходимо: </w:t>
      </w:r>
    </w:p>
    <w:p>
      <w:pPr>
        <w:spacing w:before="0" w:after="55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включение в программы по повышению квалификации муниципальных служащих учебных курсов по основам эффективного использования энергетических ресурсов; </w:t>
      </w:r>
    </w:p>
    <w:p>
      <w:pPr>
        <w:spacing w:before="0" w:after="55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проведение систематических мероприятий по информационному обеспечению и пропаганде энергосбережения в средних общеобразовательных учебных заведениях; </w:t>
      </w:r>
    </w:p>
    <w:p>
      <w:pPr>
        <w:spacing w:before="0" w:after="55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внедрение элементов системы энергетического менеджмента на муниципальных предприятиях и в муниципальных учреждениях;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участие специалистов Администрации Зуевского    сельсовета и бюджетных учреждений в научно-практических конференциях и семинарах по энергосбережению;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проведение энергосберегающих мероприятия по повышению эффективности использования энергии в жилищном фонде. Для создания условий выполнения энергосберегающих мероприятий необходимо: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обеспечить в рамках муниципального заказа применение современных энергосберегающих технологий при проектировании, строительстве, реконструкции и капитальном ремонте объектов муниципального жилищного фонда;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сформировать систему муниципальных нормативных правовых актов, стимулирующих энергосбережение в жилищном фонде (в том числе при установлении нормативов потребления коммунальных ресурсов);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создать условия для обеспечения жилищного фонда муниципального образования приборами учета коммунальных ресурсов и устройствами регулирования потребления тепловой энергии;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обеспечить формирование поведенческого энергосбережения. Это укоренение у населения привычки к минимизации использования энергии, когда она им не нужна. Необходимо осознание положения, что энергосбережение – экономически выгодно. Достигается информационной поддержкой, методами пропаганды, обучением энергосбережению.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проведение мероприятия по выявлению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постановки в установленном порядке таких объектов на учет в качестве бесхозяйных объектов недвижимого имущества и затем признанию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права муниципальной собственности на такие бесхозяйные объекты недвижимого имущества.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-142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4. </w:t>
      </w: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Сроки и этапы реализации программы.</w:t>
      </w:r>
    </w:p>
    <w:p>
      <w:pPr>
        <w:spacing w:before="0" w:after="0" w:line="240"/>
        <w:ind w:right="0" w:left="-142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Реализация программы рассчитана на 5-ти летний период. Начало реализации программы - 2021 год, окончание реализации программы -2025 год. С учетом того, что в рамках программы ежегодно планируется решать аналогичные задачи, не имеется оснований разграничения программы, в связи с этим осуществление проводится в один этап.</w:t>
      </w:r>
    </w:p>
    <w:p>
      <w:pPr>
        <w:tabs>
          <w:tab w:val="left" w:pos="567" w:leader="none"/>
        </w:tabs>
        <w:spacing w:before="0" w:after="20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5. </w:t>
      </w: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Ресурсное  обеспечение  программы.</w:t>
      </w:r>
    </w:p>
    <w:p>
      <w:pPr>
        <w:spacing w:before="0" w:after="0" w:line="240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Финансирование программных мероприятий предусматривается за счет средств бюджета Зуевского    сельсовета Солнцевского района Курской области.</w:t>
      </w:r>
    </w:p>
    <w:p>
      <w:pPr>
        <w:spacing w:before="0" w:after="0" w:line="240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Общий объем финансовых средств бюджета Зуевского    сельсовета Солнцевского района Курской области на реализацию мероприятий программы в 2021-2025 годах составляет  9000,00 рублей, в том числе по годам реализации программы:</w:t>
      </w:r>
    </w:p>
    <w:p>
      <w:pPr>
        <w:spacing w:before="0" w:after="0" w:line="240"/>
        <w:ind w:right="0" w:left="0" w:firstLine="142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- 2021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год - 1000,00 рублей;</w:t>
      </w:r>
    </w:p>
    <w:p>
      <w:pPr>
        <w:spacing w:before="0" w:after="0" w:line="240"/>
        <w:ind w:right="0" w:left="0" w:firstLine="142"/>
        <w:jc w:val="both"/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-2022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год - 2000,00 рубля;</w:t>
      </w:r>
    </w:p>
    <w:p>
      <w:pPr>
        <w:spacing w:before="0" w:after="0" w:line="240"/>
        <w:ind w:right="0" w:left="0" w:firstLine="142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-2023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год - 2000,00 рубля;</w:t>
      </w:r>
    </w:p>
    <w:p>
      <w:pPr>
        <w:spacing w:before="0" w:after="0" w:line="240"/>
        <w:ind w:right="0" w:left="0" w:firstLine="142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-2024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год - 2000,00 рубля;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-2025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год - 2000,00 рубля;</w:t>
      </w:r>
    </w:p>
    <w:p>
      <w:pPr>
        <w:spacing w:before="0" w:after="0" w:line="240"/>
        <w:ind w:right="0" w:left="-142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54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6. </w:t>
      </w: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Характеристика основных мероприятий  программы.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Потребителями энергоресурсов за счет средств местного бюджета на территории Зуевского     сельсовета Солнцевского района Курской области являются: Администрация Зуевского    сельсовета, МКУК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Зуевский   ЦСДК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приборы уличного освещения.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Одним из приоритетных направлений в области энергосбережения и повышения энергетической эффективности в Зуевском     сельсовете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Основными мероприятиями по реализации данного направления являются: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разработка и реализация пообъектных мероприятий  в области энергосбережения и повышения энергетической эффективности;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Перспективными являются, в частности, следующие мероприятия: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модернизация систем освещения с установкой энергосберегающих светильников и автоматизированных систем управления освещением;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утепление  зданий (утепление стен, замена окон), , утепление тамбуров, входных дверей, ремонт кровель.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7. </w:t>
      </w: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Анализ рисков реализации  программы и описание мер управления рисками .</w:t>
      </w:r>
    </w:p>
    <w:p>
      <w:pPr>
        <w:spacing w:before="0" w:after="20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Для оценки достижения цели программы   необходимо учитывать макроэкономические, финансовые, операционные, социальные  риски. Анализ общих рисков, описание мер управления рисками, методика оценки эффективности приведены в общей части муниципальной  программы.</w:t>
      </w:r>
    </w:p>
    <w:p>
      <w:pPr>
        <w:spacing w:before="0" w:after="20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Финансово-экономические риски связаны с сокращением в ходе реализации подпрограммы предусмотренных объемов бюджетных средств. Это потребует внесения изменений в программу, пересмотра целевых значений показателей, и, возможно, отказ от реализации отдельных мероприятий и даже задач подпрограммы. </w:t>
      </w:r>
    </w:p>
    <w:p>
      <w:pPr>
        <w:spacing w:before="0" w:after="20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 Управление данной группой рисков будет обеспечено за счет открытости и прозрачности планов мероприятий и практических действий, информационного сопровождения.</w:t>
      </w:r>
    </w:p>
    <w:p>
      <w:pPr>
        <w:spacing w:before="0" w:after="20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Информационные риски в рамках   муниципальной программы будут минимизироваться путем разработки предложений по совершенствованию форм  отчетности  сферы  отдыха и оздоровления детей в целях повышения их  полноты и информационной полезности.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8. </w:t>
      </w: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Методика оценки эффективности муниципальной программы.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Программа считается реализуемой с высоким уровнем эффективности, если: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значения 90% и более индикаторов программы соответствуют интервалам значений, установленным для высокого уровня эффективности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 менее 90% мероприятий, запланированных на отчетный год, выполнены в полном объеме.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программа считается реализуемой с удовлетворительным уровнем эффективности, если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значения 75% и более индикаторов программы соответствуют интервалам значений, установленным для высокого уровня эффективности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 менее 75% мероприятий, запланированных на отчетный год, выполнены в полном объеме.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Если реализация программы не отвечает приведенным выше критериям, уровень эффективности ее реализации признается неудовлетворительным.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9. </w:t>
      </w: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Ожидаемые результаты реализации программы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Достижение поставленной цели не решает в полной мере проблему высокой энергоемкости бюджетной сферы и экономики муниципального образования, но позволяет выполнить первый этап решения данной проблемы: создать к 2025 году условия для перевода экономики и бюджетной сферы муниципального образования на энергосберегающий путь развития и значительно снизить негативные последствия роста тарифов на основные виды топливно-энергетических ресурсов. Программа предусматривает организацию энергетических обследований для выявления нерационального использования энергоресурсов; разработку и реализацию энергосберегающих мероприятий, обеспечит наличие энергетических паспортов.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370" w:left="567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Подпрограмма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Энергосбережение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» 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муниципальной программы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Энергосбережение  и повышение энергетической эффективности в Зуевском     сельсовете Солнцевского    района Курской области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»            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П А С П О РТ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tbl>
      <w:tblPr>
        <w:tblInd w:w="108" w:type="dxa"/>
      </w:tblPr>
      <w:tblGrid>
        <w:gridCol w:w="2235"/>
        <w:gridCol w:w="6837"/>
      </w:tblGrid>
      <w:tr>
        <w:trPr>
          <w:trHeight w:val="1" w:hRule="atLeast"/>
          <w:jc w:val="left"/>
        </w:trPr>
        <w:tc>
          <w:tcPr>
            <w:tcW w:w="2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Ответственный исполнитель    подпрограммы         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6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142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Администрация Зуевского    сельсовета Солнцевского района Курской области</w:t>
            </w:r>
          </w:p>
        </w:tc>
      </w:tr>
      <w:tr>
        <w:trPr>
          <w:trHeight w:val="1" w:hRule="atLeast"/>
          <w:jc w:val="left"/>
        </w:trPr>
        <w:tc>
          <w:tcPr>
            <w:tcW w:w="2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Цели подпрограммы</w:t>
            </w:r>
          </w:p>
        </w:tc>
        <w:tc>
          <w:tcPr>
            <w:tcW w:w="6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142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основными целями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подпрограммы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являются повышение энергетической эффективности при передаче и потреблении энергетических ресурсов, создание условий для перевода экономики и бюджетной сферы муниципального образования на энергосберегающий путь развития; </w:t>
            </w:r>
          </w:p>
          <w:p>
            <w:pPr>
              <w:spacing w:before="0" w:after="0" w:line="240"/>
              <w:ind w:right="0" w:left="0" w:firstLine="142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      </w:r>
          </w:p>
        </w:tc>
      </w:tr>
      <w:tr>
        <w:trPr>
          <w:trHeight w:val="1" w:hRule="atLeast"/>
          <w:jc w:val="left"/>
        </w:trPr>
        <w:tc>
          <w:tcPr>
            <w:tcW w:w="2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Программно-целевые инструменты  подпрограммы                                   </w:t>
            </w:r>
          </w:p>
        </w:tc>
        <w:tc>
          <w:tcPr>
            <w:tcW w:w="6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142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отсутствуют</w:t>
            </w:r>
          </w:p>
        </w:tc>
      </w:tr>
      <w:tr>
        <w:trPr>
          <w:trHeight w:val="1" w:hRule="atLeast"/>
          <w:jc w:val="left"/>
        </w:trPr>
        <w:tc>
          <w:tcPr>
            <w:tcW w:w="2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Задачи подпрограммы                   </w:t>
            </w:r>
          </w:p>
        </w:tc>
        <w:tc>
          <w:tcPr>
            <w:tcW w:w="6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67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- 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создание оптимальных нормативно-правовых, организационных и экономических условий для реализации стратегии энергоресурсосбережения; </w:t>
            </w:r>
          </w:p>
          <w:p>
            <w:pPr>
              <w:spacing w:before="0" w:after="0" w:line="240"/>
              <w:ind w:right="0" w:left="67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расширение практики применения энергосберегающих технологий при модернизации, реконструкции и капитальном ремонте зданий; </w:t>
            </w:r>
          </w:p>
          <w:p>
            <w:pPr>
              <w:spacing w:before="0" w:after="0" w:line="240"/>
              <w:ind w:right="0" w:left="67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проведение энергетических обследований; </w:t>
            </w:r>
          </w:p>
          <w:p>
            <w:pPr>
              <w:spacing w:before="0" w:after="0" w:line="240"/>
              <w:ind w:right="0" w:left="67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обеспечение учета всего объема потребляемых энергетических ресурсов; </w:t>
            </w:r>
          </w:p>
          <w:p>
            <w:pPr>
              <w:spacing w:before="0" w:after="0" w:line="240"/>
              <w:ind w:right="0" w:left="6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уменьшение потребления энергии и связанных с этим затрат по муниципальным учреждениям в среднем на 15 процентов; </w:t>
            </w:r>
          </w:p>
        </w:tc>
      </w:tr>
      <w:tr>
        <w:trPr>
          <w:trHeight w:val="1" w:hRule="atLeast"/>
          <w:jc w:val="left"/>
        </w:trPr>
        <w:tc>
          <w:tcPr>
            <w:tcW w:w="2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Целевые индикаторы и показатели  подпрограммы                                   </w:t>
            </w:r>
          </w:p>
        </w:tc>
        <w:tc>
          <w:tcPr>
            <w:tcW w:w="6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 -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доля объемов воды, расчеты за которую осуществляются с использованием   приборов учета; </w:t>
            </w:r>
          </w:p>
          <w:p>
            <w:pPr>
              <w:spacing w:before="0" w:after="0" w:line="240"/>
              <w:ind w:right="0" w:left="0" w:firstLine="142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-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доля объектов жилищного фонда, имеющих акты энергетических обследований и энергетические паспорта; </w:t>
            </w:r>
          </w:p>
          <w:p>
            <w:pPr>
              <w:spacing w:before="0" w:after="0" w:line="240"/>
              <w:ind w:right="0" w:left="0" w:firstLine="142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-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объем потребления электроэнергии системой наружного освещения; </w:t>
            </w:r>
          </w:p>
          <w:p>
            <w:pPr>
              <w:spacing w:before="0" w:after="0" w:line="240"/>
              <w:ind w:right="0" w:left="0" w:firstLine="142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количество установленных узлов учета холодного водоснабжения в муниципальных учреждениях; </w:t>
            </w:r>
          </w:p>
        </w:tc>
      </w:tr>
      <w:tr>
        <w:trPr>
          <w:trHeight w:val="1" w:hRule="atLeast"/>
          <w:jc w:val="left"/>
        </w:trPr>
        <w:tc>
          <w:tcPr>
            <w:tcW w:w="2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Этапы и сроки реализации    подпрограммы                              </w:t>
            </w:r>
          </w:p>
        </w:tc>
        <w:tc>
          <w:tcPr>
            <w:tcW w:w="6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142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2021-2025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годы</w:t>
            </w:r>
          </w:p>
        </w:tc>
      </w:tr>
      <w:tr>
        <w:trPr>
          <w:trHeight w:val="1" w:hRule="atLeast"/>
          <w:jc w:val="left"/>
        </w:trPr>
        <w:tc>
          <w:tcPr>
            <w:tcW w:w="2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Объемы бюджетных ассигнований  подпрограммы                                          </w:t>
            </w:r>
          </w:p>
        </w:tc>
        <w:tc>
          <w:tcPr>
            <w:tcW w:w="6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142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Финансирование мероприятий программы осуществляется за счет средств местного бюджета:</w:t>
            </w:r>
          </w:p>
          <w:p>
            <w:pPr>
              <w:spacing w:before="0" w:after="0" w:line="240"/>
              <w:ind w:right="0" w:left="0" w:firstLine="142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- 2021 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год - 1000,00 рублей;</w:t>
            </w:r>
          </w:p>
          <w:p>
            <w:pPr>
              <w:spacing w:before="0" w:after="0" w:line="240"/>
              <w:ind w:right="0" w:left="0" w:firstLine="142"/>
              <w:jc w:val="both"/>
              <w:rPr>
                <w:rFonts w:ascii="Arial" w:hAnsi="Arial" w:cs="Arial" w:eastAsia="Arial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-2022 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год - 2000,00 рубля;</w:t>
            </w:r>
          </w:p>
          <w:p>
            <w:pPr>
              <w:spacing w:before="0" w:after="0" w:line="240"/>
              <w:ind w:right="0" w:left="0" w:firstLine="142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-2023 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год - 2000,00 рубля;</w:t>
            </w:r>
          </w:p>
          <w:p>
            <w:pPr>
              <w:spacing w:before="0" w:after="0" w:line="240"/>
              <w:ind w:right="0" w:left="0" w:firstLine="142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-2024 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год - 2000,00 рубля;</w:t>
            </w:r>
          </w:p>
          <w:p>
            <w:pPr>
              <w:spacing w:before="0" w:after="0" w:line="240"/>
              <w:ind w:right="0" w:left="0" w:firstLine="142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-2025 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год - 2000,00 рубля;</w:t>
            </w:r>
          </w:p>
        </w:tc>
      </w:tr>
      <w:tr>
        <w:trPr>
          <w:trHeight w:val="1" w:hRule="atLeast"/>
          <w:jc w:val="left"/>
        </w:trPr>
        <w:tc>
          <w:tcPr>
            <w:tcW w:w="2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Ожидаемые результаты реализации  подпрограммы                                           </w:t>
            </w:r>
          </w:p>
        </w:tc>
        <w:tc>
          <w:tcPr>
            <w:tcW w:w="6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 -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экономия потребления воды в муниципальных учреждениях; </w:t>
            </w:r>
          </w:p>
          <w:p>
            <w:pPr>
              <w:spacing w:before="0" w:after="0" w:line="240"/>
              <w:ind w:right="0" w:left="0" w:firstLine="142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-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экономия электрической энергии в системах наружного освещения; </w:t>
            </w:r>
          </w:p>
          <w:p>
            <w:pPr>
              <w:spacing w:before="0" w:after="0" w:line="240"/>
              <w:ind w:right="0" w:left="0" w:firstLine="142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-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наличие в органах местного самоуправления, муниципальных учреждениях, муниципальных унитарных предприятиях актов энергетических обследований и энергетических паспортов на уровне 100 процентов от общего количества учреждений; </w:t>
            </w:r>
          </w:p>
          <w:p>
            <w:pPr>
              <w:spacing w:before="0" w:after="0" w:line="240"/>
              <w:ind w:right="0" w:left="0" w:firstLine="142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повышение заинтересованности в энергосбережении. </w:t>
            </w:r>
          </w:p>
        </w:tc>
      </w:tr>
    </w:tbl>
    <w:p>
      <w:pPr>
        <w:tabs>
          <w:tab w:val="left" w:pos="3820" w:leader="none"/>
        </w:tabs>
        <w:spacing w:before="0" w:after="20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820" w:leader="none"/>
        </w:tabs>
        <w:spacing w:before="0" w:after="20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1. </w:t>
      </w: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Характеристика сферы реализации  подпрограммы.</w:t>
      </w:r>
    </w:p>
    <w:p>
      <w:pPr>
        <w:spacing w:before="100" w:after="10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Ежегодный рост объемов потребляемых  ТЭР, а так же ежегодное повышение цен (тарифов) на энергоносители, обуславливает высокую значимость проблемы энергосбережения и повышения энергетической эффективности на территории Зуевского     сельсовета Солнцевского  района Курской области.</w:t>
      </w:r>
    </w:p>
    <w:p>
      <w:pPr>
        <w:spacing w:before="100" w:after="1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Решение проблемы связано с осуществлением комплекса подпрограммных мероприятий по энергосбережению и повышению энергетической эффективности при  потреблении энергетических ресурсов. В первую очередь соответствующие мероприятия должны быть реализованы в бюджетной сфере сельского поселения,  уличном освещении оплачиваемом за счет средств местного бюджета. Комплексный подход к энергосбережению и повышению энергетической эффективности позволит создать условия для повышения уровня жизни населения, роста экономического потенциала, экологической безопасности территории,  повышения уровня благоустройства населенных пунктов, повышения эффективности управления государственным и муниципальным имуществом.</w:t>
      </w:r>
    </w:p>
    <w:p>
      <w:pPr>
        <w:spacing w:before="100" w:after="1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Необходимость решения проблемы энергосбережения и повышения энергетической эффективности подпрограммным методом обусловлена рядом причин, в частности:</w:t>
      </w:r>
    </w:p>
    <w:p>
      <w:pPr>
        <w:spacing w:before="100" w:after="1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комплексным характером проблемы, обуславливающей необходимость координации действий и ресурсов  органов местного самоуправления, но также хозяйствующих субъектов и населения;</w:t>
      </w:r>
    </w:p>
    <w:p>
      <w:pPr>
        <w:spacing w:before="100" w:after="10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снижением расходов местного бюджета муниципального образования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Зуевский   сельсовет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района   на оплату потребленных энергетических ресурсов.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2. </w:t>
      </w: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Факторы, влияющие на процессы энергосбережения</w:t>
      </w:r>
    </w:p>
    <w:p>
      <w:pPr>
        <w:spacing w:before="0" w:after="0" w:line="240"/>
        <w:ind w:right="0" w:left="-142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в Зуевском     сельсовете Солнцевского района Курской области .</w:t>
      </w:r>
    </w:p>
    <w:p>
      <w:pPr>
        <w:spacing w:before="0" w:after="0" w:line="240"/>
        <w:ind w:right="0" w:left="-142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Энергосбережение - комплекс мер или действий, предпринимаемых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для обеспечения более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эффективного использования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ресурсов.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Факторы, стимулирующие процессы энергосбережения: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рост стоимости энергоресурсов;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повышение качества и количества приборов учета энергоресурсов, автоматизация процессов энергопотребления;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повышение качества эксплуатации муниципального жилищного фонда.</w:t>
      </w:r>
    </w:p>
    <w:p>
      <w:pPr>
        <w:spacing w:before="0" w:after="0" w:line="240"/>
        <w:ind w:right="0" w:left="-142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-142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3. </w:t>
      </w: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Цели и задачи подпрограммы.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Основными целями подпрограммы являются повышение энергетической эффективности при производстве, передаче и потреблении энергетических ресурсов на территории Зуевского    сельсовета создание условий для перевода экономики и бюджетной сферы муниципального образования на энергосберегающий путь развития.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Для достижения поставленных целей в ходе реализации подпрограммы органам местного самоуправления необходимо решить следующие задачи: </w:t>
      </w:r>
    </w:p>
    <w:p>
      <w:pPr>
        <w:spacing w:before="0" w:after="55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разработка и принятие системы муниципальных нормативных правовых актов, стимулирующих энергосбережение; </w:t>
      </w:r>
    </w:p>
    <w:p>
      <w:pPr>
        <w:spacing w:before="0" w:after="55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разработка и внедрение типовых форм договоров на поставку топливно-энергетических и коммунальных ресурсов, направленных на стимулирование энергосбережения; </w:t>
      </w:r>
    </w:p>
    <w:p>
      <w:pPr>
        <w:spacing w:before="0" w:after="55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установок;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разработка и внедрение форм наблюдения за показателями, характеризующими эффективность использования основных видов энергетических ресурсов и энергоемкости экономики Зуевского    сельсовета.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расширение практики применения энергосберегающих технологий при модернизации, реконструкции и капитальном ремонте зданий, для этого необходимо;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ресурсоэнергосбережению, соответствующих или превышающих требования федеральных нормативных актов, и обеспечить их соблюдение;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проведение энергосберегающих мероприятий (обеспечение приборами учета коммунальных ресурсов, устройствами регулирования потребления тепловой энергии, утепление фасадов) при капитальном ремонте зданий.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проведение энергетических обследований. Для выполнения данной задачи необходимо организовать работу по проведению энергетических обследований, составлению энергетических паспортов во всех органах местного самоуправления, муниципальных учреждениях, муниципальных унитарных предприятиях;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обеспечение учета всего объема потребляемых энергетических ресурсов;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уменьшение потребления энергии и связанных с этим затрат по муниципальным учреждениям. Для выполнения данной задачи необходимо: </w:t>
      </w:r>
    </w:p>
    <w:p>
      <w:pPr>
        <w:spacing w:before="0" w:after="55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проведение капитального ремонта и модернизации муниципальных зданий и их инженерных систем, внедрение энергоэффективных устройств (оборудования и технологий) с учётом результатов энергоаудита;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учитывать показатели энергоэффективности серийно производимого оборудования при закупках для муниципальных нужд;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повышение уровня компетентности работников Администрации Зуевского    сельсовета и ответственных за энергосбережение сотрудников муниципальных учреждений в вопросах эффективного использования энергетических ресурсов. Для выполнения данной задачи необходимо: </w:t>
      </w:r>
    </w:p>
    <w:p>
      <w:pPr>
        <w:spacing w:before="0" w:after="55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включение в подпрограмму по повышению квалификации муниципальных служащих учебных курсов по основам эффективного использования энергетических ресурсов; </w:t>
      </w:r>
    </w:p>
    <w:p>
      <w:pPr>
        <w:spacing w:before="0" w:after="55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проведение систематических мероприятий по информационному обеспечению и пропаганде энергосбережения в средних общеобразовательных учебных заведениях; </w:t>
      </w:r>
    </w:p>
    <w:p>
      <w:pPr>
        <w:spacing w:before="0" w:after="55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внедрение элементов системы энергетического менеджмента на муниципальных предприятиях и в муниципальных учреждениях;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участие специалистов Администрации Зуевского    сельсовета и бюджетных учреждений в научно-практических конференциях и семинарах по энергосбережению;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проведение энергосберегающих мероприятия по повышению эффективности использования энергии в жилищном фонде. Для создания условий выполнения энергосберегающих мероприятий необходимо: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обеспечить в рамках муниципального заказа применение современных энергосберегающих технологий при проектировании, строительстве, реконструкции и капитальном ремонте объектов муниципального жилищного фонда;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сформировать систему муниципальных нормативных правовых актов, стимулирующих энергосбережение в жилищном фонде (в том числе при установлении нормативов потребления коммунальных ресурсов);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создать условия для обеспечения жилищного фонда муниципального образования приборами учета коммунальных ресурсов и устройствами регулирования потребления тепловой энергии;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обеспечить формирование поведенческого энергосбережения. Это укоренение у населения привычки к минимизации использования энергии, когда она им не нужна. Необходимо осознание положения, что энергосбережение – экономически выгодно. Достигается информационной поддержкой, методами пропаганды, обучением энергосбережению.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проведение мероприятия по выявлению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постановки в установленном порядке таких объектов на учет в качестве бесхозяйных объектов недвижимого имущества и затем признанию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права муниципальной собственности на такие бесхозяйные объекты недвижимого имущества.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4. </w:t>
      </w: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Сроки и этапы реализации подпрограммы.</w:t>
      </w:r>
    </w:p>
    <w:p>
      <w:pPr>
        <w:spacing w:before="0" w:after="0" w:line="240"/>
        <w:ind w:right="0" w:left="-142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Реализация подпрограммы рассчитана на 5-ти летний период. Начало реализации подпрограммы - 2021 год, окончание реализации подпрограммы -2025 год. С учетом того, что в рамках подпрограммы ежегодно планируется решать аналогичные задачи, не имеется оснований разграничения подпрограммы, в связи с этим осуществление проводится в один этап.</w:t>
      </w:r>
    </w:p>
    <w:p>
      <w:pPr>
        <w:tabs>
          <w:tab w:val="left" w:pos="567" w:leader="none"/>
        </w:tabs>
        <w:spacing w:before="0" w:after="20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5. </w:t>
      </w: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Ресурсное  обеспечение  подпрограммы</w:t>
      </w:r>
    </w:p>
    <w:p>
      <w:pPr>
        <w:spacing w:before="0" w:after="0" w:line="240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Финансирование подпрограммных мероприятий предусматривается за счет средств бюджета Зуевского    сельсовета Солнцевского района Курской области.</w:t>
      </w:r>
    </w:p>
    <w:p>
      <w:pPr>
        <w:spacing w:before="0" w:after="0" w:line="240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Общий объем финансовых средств бюджета Зуевского    сельсовета Солнцевского района Курской области на реализацию мероприятий программы в 2021-2025 годах составляет  9000,00 рублей, в том числе по годам реализации программы:</w:t>
      </w:r>
    </w:p>
    <w:p>
      <w:pPr>
        <w:spacing w:before="0" w:after="0" w:line="240"/>
        <w:ind w:right="0" w:left="0" w:firstLine="142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- 2021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год - 1000,00 рублей;</w:t>
      </w:r>
    </w:p>
    <w:p>
      <w:pPr>
        <w:spacing w:before="0" w:after="0" w:line="240"/>
        <w:ind w:right="0" w:left="0" w:firstLine="142"/>
        <w:jc w:val="both"/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-2022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год - 2000,00 рубля;</w:t>
      </w:r>
    </w:p>
    <w:p>
      <w:pPr>
        <w:spacing w:before="0" w:after="0" w:line="240"/>
        <w:ind w:right="0" w:left="0" w:firstLine="142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-2023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год - 2000,00 рубля;</w:t>
      </w:r>
    </w:p>
    <w:p>
      <w:pPr>
        <w:spacing w:before="0" w:after="0" w:line="240"/>
        <w:ind w:right="0" w:left="0" w:firstLine="142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-2024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год - 2000,00 рубля;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-2025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год - 2000,00 рубля;</w:t>
      </w:r>
    </w:p>
    <w:p>
      <w:pPr>
        <w:spacing w:before="0" w:after="20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6. </w:t>
      </w: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Характеристика основных мероприятий  подпрограммы.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Потребителями энергоресурсов за счет средств местного бюджета на территории Зуевского     сельсовета Солнцевского района Курской области являются: Администрация Зуевского    сельсовета, МКУК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Зуевский   ЦСДК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приборы уличного освещения.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Одним из приоритетных направлений в области энергосбережения и повышения энергетической эффективности в Зуевском     сельсовете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Основными мероприятиями по реализации данного направления являются: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разработка и реализация пообъектных мероприятий  в области энергосбережения и повышения энергетической эффективности;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Перспективными являются, в частности, следующие мероприятия: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модернизация систем освещения с установкой энергосберегающих светильников и автоматизированных систем управления освещением;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утепление  зданий (утепление стен, замена окон),  утепление тамбуров, входных дверей, ремонт кровель.</w:t>
      </w:r>
    </w:p>
    <w:p>
      <w:pPr>
        <w:spacing w:before="0" w:after="0" w:line="240"/>
        <w:ind w:right="0" w:left="-142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7. </w:t>
      </w: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Анализ рисков реализации подпрограммы и описание мер управления рисками .</w:t>
      </w:r>
    </w:p>
    <w:p>
      <w:pPr>
        <w:spacing w:before="0" w:after="20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Для оценки достижения цели подпрограммы   необходимо учитывать макроэкономические, финансовые, операционные, социальные  риски. Анализ общих рисков, описание мер управления рисками, методика оценки эффективности приведены в общей части муниципальной  подпрограммы.</w:t>
      </w:r>
    </w:p>
    <w:p>
      <w:pPr>
        <w:spacing w:before="0" w:after="20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Финансово-экономические риски связаны с сокращением в ходе реализации подпрограммы предусмотренных объемов бюджетных средств. Это потребует внесения изменений в подпрограмму, пересмотра целевых значений показателей, и, возможно, отказ от реализации отдельных мероприятий и даже задач подпрограммы. </w:t>
      </w:r>
    </w:p>
    <w:p>
      <w:pPr>
        <w:spacing w:before="0" w:after="20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 Управление данной группой рисков будет обеспечено за счет открытости и прозрачности планов мероприятий и практических действий, информационного сопровождения.</w:t>
      </w:r>
    </w:p>
    <w:p>
      <w:pPr>
        <w:spacing w:before="0" w:after="20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Информационные риски в рамках   муниципальной подпрограммы будут минимизироваться путем разработки предложений по совершенствованию форм  отчетности  сферы  отдыха и оздоровления детей в целях повышения их  полноты и информационной полезности.</w:t>
      </w:r>
    </w:p>
    <w:p>
      <w:pPr>
        <w:spacing w:before="0" w:after="0" w:line="240"/>
        <w:ind w:right="0" w:left="-142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67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67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67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67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67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67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67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67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67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67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67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67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67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67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67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67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67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67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67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67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67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67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67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67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67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67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67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67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67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67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67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67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67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67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67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67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67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395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67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962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Приложение № 1</w:t>
      </w:r>
    </w:p>
    <w:p>
      <w:pPr>
        <w:spacing w:before="0" w:after="0" w:line="240"/>
        <w:ind w:right="0" w:left="4962" w:hanging="567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 муниципальной программе Энергосбережение  и повышение энергетической эффективности в Зуевском     сельсовете Солнцевского  района Курской области</w:t>
      </w:r>
    </w:p>
    <w:p>
      <w:pPr>
        <w:suppressAutoHyphens w:val="true"/>
        <w:spacing w:before="0" w:after="0" w:line="240"/>
        <w:ind w:right="0" w:left="567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-142" w:firstLine="0"/>
        <w:jc w:val="center"/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-142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РЕСУРСНОЕ ОБЕСПЕЧЕНИЕ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Муниципальной программы </w:t>
      </w: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Энергосбережение  и повышение энергетической эффективности в Зуевском     сельсовете Солнцевского района                     Курской области</w:t>
      </w: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»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142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-142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418"/>
        <w:gridCol w:w="1559"/>
        <w:gridCol w:w="1341"/>
        <w:gridCol w:w="1417"/>
        <w:gridCol w:w="1276"/>
        <w:gridCol w:w="1134"/>
        <w:gridCol w:w="1276"/>
      </w:tblGrid>
      <w:tr>
        <w:trPr>
          <w:trHeight w:val="345" w:hRule="auto"/>
          <w:jc w:val="center"/>
        </w:trPr>
        <w:tc>
          <w:tcPr>
            <w:tcW w:w="141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-108" w:left="-108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Источники финассиро-</w:t>
            </w:r>
          </w:p>
          <w:p>
            <w:pPr>
              <w:suppressAutoHyphens w:val="true"/>
              <w:spacing w:before="0" w:after="0" w:line="240"/>
              <w:ind w:right="-108" w:left="-108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вания</w:t>
            </w:r>
          </w:p>
        </w:tc>
        <w:tc>
          <w:tcPr>
            <w:tcW w:w="155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Всего за период реализации программы</w:t>
            </w:r>
          </w:p>
          <w:p>
            <w:pPr>
              <w:suppressAutoHyphens w:val="true"/>
              <w:spacing w:before="0" w:after="0" w:line="240"/>
              <w:ind w:right="57" w:left="57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(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рублей.)</w:t>
            </w:r>
          </w:p>
        </w:tc>
        <w:tc>
          <w:tcPr>
            <w:tcW w:w="6444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том числе: (рублей)</w:t>
            </w:r>
          </w:p>
        </w:tc>
      </w:tr>
      <w:tr>
        <w:trPr>
          <w:trHeight w:val="345" w:hRule="auto"/>
          <w:jc w:val="center"/>
        </w:trPr>
        <w:tc>
          <w:tcPr>
            <w:tcW w:w="14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2021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год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2022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год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2023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год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2024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год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2025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год</w:t>
            </w:r>
          </w:p>
        </w:tc>
      </w:tr>
      <w:tr>
        <w:trPr>
          <w:trHeight w:val="345" w:hRule="auto"/>
          <w:jc w:val="center"/>
        </w:trPr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-108" w:left="-108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Местный бюджет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9000 ,00</w:t>
            </w:r>
          </w:p>
        </w:tc>
        <w:tc>
          <w:tcPr>
            <w:tcW w:w="13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1000 ,00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2000 ,00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2000 ,00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2000,00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2000 ,00</w:t>
            </w:r>
          </w:p>
        </w:tc>
      </w:tr>
    </w:tbl>
    <w:p>
      <w:pPr>
        <w:suppressAutoHyphens w:val="true"/>
        <w:spacing w:before="0" w:after="0" w:line="240"/>
        <w:ind w:right="0" w:left="-142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142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-142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86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Приложение № 2</w:t>
      </w:r>
    </w:p>
    <w:p>
      <w:pPr>
        <w:spacing w:before="0" w:after="0" w:line="240"/>
        <w:ind w:right="0" w:left="3686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Подпрограмме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Энергосбережение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 программы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Энергосбережение  и повышение энергетической эффективности в Зуевском     сельсовете Солнцевского   района Курской области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uppressAutoHyphens w:val="true"/>
        <w:spacing w:before="0" w:after="0" w:line="240"/>
        <w:ind w:right="0" w:left="3686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-142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-142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РЕСУРСНОЕ ОБЕСПЕЧЕНИЕ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Подпрограммы </w:t>
      </w: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Энергосбережение</w:t>
      </w: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»  </w:t>
      </w: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муниципальной программы </w:t>
      </w: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Энергосбережение  и повышение энергетической эффективности в Зуевском     сельсовете Солнцевского  района Курской области</w:t>
      </w: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»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142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-142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418"/>
        <w:gridCol w:w="1559"/>
        <w:gridCol w:w="1276"/>
        <w:gridCol w:w="1276"/>
        <w:gridCol w:w="1276"/>
        <w:gridCol w:w="1417"/>
        <w:gridCol w:w="1276"/>
      </w:tblGrid>
      <w:tr>
        <w:trPr>
          <w:trHeight w:val="345" w:hRule="auto"/>
          <w:jc w:val="left"/>
        </w:trPr>
        <w:tc>
          <w:tcPr>
            <w:tcW w:w="141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-108" w:left="-108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Источники финассиро-</w:t>
            </w:r>
          </w:p>
          <w:p>
            <w:pPr>
              <w:suppressAutoHyphens w:val="true"/>
              <w:spacing w:before="0" w:after="0" w:line="240"/>
              <w:ind w:right="-108" w:left="-108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вания</w:t>
            </w:r>
          </w:p>
        </w:tc>
        <w:tc>
          <w:tcPr>
            <w:tcW w:w="155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176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Всего за период реализации программы</w:t>
            </w:r>
          </w:p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(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рублей.)</w:t>
            </w:r>
          </w:p>
        </w:tc>
        <w:tc>
          <w:tcPr>
            <w:tcW w:w="6521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том числе: (рублей)</w:t>
            </w:r>
          </w:p>
        </w:tc>
      </w:tr>
      <w:tr>
        <w:trPr>
          <w:trHeight w:val="345" w:hRule="auto"/>
          <w:jc w:val="left"/>
        </w:trPr>
        <w:tc>
          <w:tcPr>
            <w:tcW w:w="14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2021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год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2022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год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2023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год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2024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год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2025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год</w:t>
            </w:r>
          </w:p>
        </w:tc>
      </w:tr>
      <w:tr>
        <w:trPr>
          <w:trHeight w:val="345" w:hRule="auto"/>
          <w:jc w:val="left"/>
        </w:trPr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-108" w:left="-108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Местный бюджет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-10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9000 ,00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1000 ,00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2000 ,00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2000 ,00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2000 ,00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2000 ,00</w:t>
            </w:r>
          </w:p>
        </w:tc>
      </w:tr>
    </w:tbl>
    <w:p>
      <w:pPr>
        <w:suppressAutoHyphens w:val="true"/>
        <w:spacing w:before="0" w:after="0" w:line="240"/>
        <w:ind w:right="0" w:left="-142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142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-142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-142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