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1498" w:dyaOrig="1518">
          <v:rect xmlns:o="urn:schemas-microsoft-com:office:office" xmlns:v="urn:schemas-microsoft-com:vml" id="rectole0000000000" style="width:74.900000pt;height: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  <w:br/>
        <w:t xml:space="preserve">ЗУЕВСКОГО СЕЛЬСОВЕТА</w:t>
        <w:br/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01.03.2021 г. № 24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Порядка проведения оценки регулирующего воздействия проектов нормативных правовых актов Администрации Зуевского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ом Курской области от 25.02.2014 №9-ЗКО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Администрация Зуевского    сельсовета Солнцевского района Курской области Постановляет: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Порядокпроведения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деятельности(далее – Порядок), согласно приложению.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212121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212121"/>
          <w:spacing w:val="0"/>
          <w:position w:val="0"/>
          <w:sz w:val="24"/>
          <w:shd w:fill="auto" w:val="clear"/>
        </w:rPr>
        <w:t xml:space="preserve">Опубликовать настоящее постановление на официальном сайте Администрации Зуевского    сельсовета в сети Интернет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12121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212121"/>
          <w:spacing w:val="0"/>
          <w:position w:val="0"/>
          <w:sz w:val="24"/>
          <w:shd w:fill="FFFFFF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4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 сельсовета ;                                     А.И.Панин</w:t>
      </w: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Приложение к постановлению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Администрации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Зуевского    сельсовета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 01.03.2021 г. № 24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проведения оценки регулирующего воздействия проектов нормативных правовых актов Администрации Зуевского    сельсовета Солнцевского района Курской 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Зуевского    сельсовета Солнцевского района Курской  области,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 (далее - нормативные правовые акты).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целей настоящего Порядка используются следующие понятия: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 - постоянно действующая рабочая группа, созданная из числа специалистов структурных подразделений АдминистрацииЗуевского    сельсовета Солнцевского района Курской области (далее – Администрация  Зуевского    сельсовета Солнцевского района), для проведения оценки регулирующего воздействия проектов нормативных правовых актов Администрации  Зуевского    сельсовета Солнцевского района,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района, затрагивающих вопросы осуществления предпринимательской и инвестиционной деятельности, состав которой утверждается распоряжением Администрации Зуевского    сельсовета Солнцевского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Курской области, органов местного самоуправления Зуевского    сельсовета Солнцевского района, к компетенции которых относятся вопросы, вынесенные на обсуждение иных заинтересованных лиц;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Курской области, Уполномоченный по защите прав предпринимателей в Курской области, органы местного самоуправления Зуевского    сельсовета Солнцевского района Курской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проведении оценки регулирующего воздействия и экспертизы проводятся публичные консультации, если иное не предусмотрено настоящим Законом.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Задачами проведения публичных консультаций по проектам нормативных правовых актов являются: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Порядок проведения оценки регулирующего воздействия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проводится: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разработчиком проекта нормативного правового акта;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Администрацией 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Зуевского    сельсовета Солнцевского районаобязанности,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Зуевского    сельсовета Солнцевского районаадминистративные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Зуевского    сельсовета Солнцевского районарасходов субъектов предпринимательской и инвестиционной деятельности и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муниципального района Солнцевский  район;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Курской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Курской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Курской области).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включает следующие этапы: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акта. 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Курской области (в случае если текст проекта муниципального нормативного правового акта воспроизводит (дублирует) положения норм федеральногозаконодательства и (или) положения нормативного правового акта Курской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Курской области), публичные консультации не проводятся;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подготовка разработчиком проекта нормативного правового акта отчета о проведении оценки регулирующего воздействия;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подготовка Администрацией Зуевского    сельсовета Солнцевского районазаключения об оценке регулирующего воздействия.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 проекта нормативного правового акта;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пояснительную записку;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принятия, изменения, отмены которых потребует принятие нормативного правового акта;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уведомление о подготовке проекта нормативного правового акта по форме, установленной в приложении № 1 к настоящему Порядку;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Зуевского    сельсовета Солнцевского районадля их размещения на официальном сайте Администрации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Зуевского    сельсовета Солнцевского района Курской области в срок не позднее трех рабочих дней со дня поступления материалов в Администрацию Зуевского    сельсовета Солнцевского района, указанных в пункте 2.4 настоящего Порядка, размещает их на официальном сайте Администрации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размещении на официальном сайте материалов, указанных в пункте 2.4 настоящего Порядка, разработчик проекта нормативного правового акта в течение 5 рабочих дней со дня их размещения уведомляет: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Администрацию Зуевского    сельсовета Солнцевского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по защите прав предпринимателей в Курской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организации в соответствующей сфере регулирования.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 свода предложений, полученных по результатам публичных консультаций, предусмотрена в приложении № 2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№ 3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абзацах третьем - пятом пункта 2.4 настоящего Порядка, и отчет о проведении оценки регулирующего воздействия в Администрацию Зуевского    сельсовета Солнцевского районадля подготовки заключения об оценке регулирующего воздействия.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отчета о проведении оценки регулирующего воздействия Администрацией Зуевского    сельсовета Солнцевского района в течение 10 рабочих дней со дня поступления документов, указанных в пункте 2.14 настоящего Порядка, подготавливается и направляется разработчику заключение об оценке регулирующего воздействия.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подготовке заключения об оценке регулирующего воздействия Администрация Зуевского    сельсовета Солнцевского района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абзацем первым настоящего пункта для подготовки заключения об оценке регулирующего воздействия.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 заключения об оценке регулирующего воздействия предусмотрена в приложении № 4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результатам публичных консультаций и с учетом заключения Администрацией Зуевского    сельсовета Солнцевского района об оценке регулирующего воздействия разработчик проекта нормативного правового акта может принять одно из следующих решений: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внести проект нормативного правового акта на рассмотрение АдминистрацииЗуевского    сельсовета Солнцевского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доработать проект нормативного правового акта и внести его на рассмотрение Администрации Зуевского    сельсовета Солнцевского района.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Курской области от 25.02.2014 №9-ЗКО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отказаться от внесения проекта нормативного правового акта на рассмотрение АдминистрацииЗуевского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Администрацией Зуевского    сельсовета Солнцевского района по возникшим в ходе указанной процедуры спорным вопросам.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Порядок проведения экспертизы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Экспертиза проводится уполномоченным органом на основе ежегодного плана проведения экспертизы нормативных правовых актов АдминистрацииЗуевского    сельсовета Солнцевского района, затрагивающих вопросы осуществления предпринимательской и инвестиционной деятельности (далее - ежегодный план).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Ежегодный план составляется АдминистрациейЗуевского    сельсовета Солнцевского района, утверждается Главой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 ежегодного плана предусмотрена в приложении № 5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Экспертиза включает следующие этапы: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проведение публичных консультаций по нормативному правовому акту;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подготовка отчета о проведении экспертизы.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проведения публичных консультаций Администрация Зуевского    сельсовета Солнцевского района подготавливает: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уведомление о проведении экспертизы нормативного правового акта согласно приложению № 6 к настоящему Порядку;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текст нормативного правового акта в редакции, действующей на дату размещения уведомления о проведении экспертизы;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перечень вопросов для участников публичных консультаций.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Указанные в настоящем пункте материалы размещаются на официальном сайте Администрации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размещении на официальном сайте Администрации Зуевского    сельсовета Солнцевского района, указанных в пункте 3.3 настоящего Порядка, уполномоченный орган в течение 5 рабочих дней со дня их размещения уведомляет: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Уполномоченного по защите прав предпринимателей в Курской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организации в соответствующей сфере регулирования.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Срок, в течение которого АдминистрациейЗуевского    сельсовета Солнцевского района проводятся публичные консультации по нормативному правовому акту, составляет тридцать календарных дней со дня размещения на официальном сайте Администрации Зуевского    сельсовета материалов, указанных в пункте 3.3 настоящего Порядка.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Публичные консультации могут дополнительно включать такие формы общественного обсуждения нормативного правового акта, как опросы,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горячие линии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совещания с заинтересованными сторонами,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круглые столы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АдминистрацияЗуевского    сельсовета Солнцевского района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Главой Администрации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Подготовка отчета о проведении экспертизы осуществляется с учетом результатов анализа: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положений нормативного правового акта во взаимосвязи со сложившейся практикой их применения.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Отчет о проведении экспертизы должен содержать: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Отчет о проведении экспертизы в течение 5 календарных дней со дня его подписания направляется Администрацией Зуевского    сельсовета Солнцевского района Главе Зуевского    сельсовета Солнцевского района.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 сельсовета Солнцевского района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396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 подготовке проекта нормативного правового акта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 нормативного правового акта___________________________________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проекта нормативного правового акта__________________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Планируемый срок вступления в силу нормативного правового акта_____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Обоснование необходимости подготовки проекта нормативного правового акта________________________________________________________________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 проблем, на решение которых направлен предлагаемый способ регулирования______________________________________________________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Круг субъектов, на которых будет распространено действие проекта нормативного правового акта_________________________________________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Необходимость установления переходного периода____________________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Краткое изложение целей регулирования 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Срок, в течение которого разработчиком проекта принимаются предложения_______________________________________________________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 дня размещения на официальном сайте настоящего уведомления)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tabs>
          <w:tab w:val="left" w:pos="9781" w:leader="none"/>
        </w:tabs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Иная информация по решению разработчика проекта нормативного правового акта___________________________________________________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Свод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предложений, полученных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 результатам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Предложения принимались разработчиком проекта нормативного правового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акта с _________________________ по 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Общее число полученных предложений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Число учтенных предложений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Число предложений, учтенных частично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Число отклоненных предложений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Свод предложений: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1984"/>
        <w:gridCol w:w="1984"/>
        <w:gridCol w:w="2041"/>
        <w:gridCol w:w="300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обсуждения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участника обсуждения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поступления предложения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рассмотрения предложения разработчиком проекта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№3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Отчет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 проведении оценки регулирующего воздействия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 сведения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Вид, наименование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Проблема, на решение которой направлено принятие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 существующей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Причины (источники) возникновения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Негативные эффекты, связанные с существованием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Риски и предполагаемые последствия, связанные с сохранением текущего положения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Вывод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Цели регулирования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цели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Варианты решения проблемы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&lt;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"file:///C:/Users/Harenkova_EV/Desktop/регулир%2520возд.docx"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*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"file:///C:/Users/Harenkova_EV/Desktop/регулир%2520возд.docx"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&gt;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Вариант 1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Вариант 2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варианта 1 решения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группы, подверженные влиянию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Предполагаемые издержки и выгоды основных групп участников от принятия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варианта 2 решения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группы, подверженные влиянию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Предполагаемые издержки и выгоды основных групп участников от принятия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Выбранный вариант решения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Риски недостижения целей правового регулирования или возможные негативные последствия от принятия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Справка о проведении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проведения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Участники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 проведения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Предложения, полученные в ходе проведения публичных консультаций, с указанием результата их рассмотрения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Приложения (по усмотрению разработчика нормативного правового акта)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 разработчика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"___" _____________ 20___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--------------------------------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&lt;*&gt;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Примечание.  Количество  вариантов  решения  проблемы определяется разработчиком проекта нормативного правового акта.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№4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об оценке регулирующего воздействия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 сведения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Разработчик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Вид, наименование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получения уполномоченным органом отчета о проведении оценки регулирующего воздействия: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Проблема, на решение которой направлено принятие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Цели регулирования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цели проекта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Выбранный вариант решения проблемы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Оценка эффективности выбранного варианта решения проблемы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Выводы: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Иная информация, подлежащая отражению в заключении об оценке регулирующего воздействия по усмотрению уполномоченного органа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 Главы Зуевского    сельсовета Солнцевского района Курской области (Ф.И.О.)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"___" _____________ 20___ г.</w:t>
      </w: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№5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 сельсовета Солнцевского района Курской области</w:t>
      </w: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«___»_______________________</w:t>
      </w:r>
    </w:p>
    <w:p>
      <w:pPr>
        <w:spacing w:before="0" w:after="0" w:line="240"/>
        <w:ind w:right="0" w:left="3686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Ежегодный план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проведения экспертизы нормативных правовых актов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9"/>
        <w:gridCol w:w="3685"/>
        <w:gridCol w:w="3402"/>
        <w:gridCol w:w="2774"/>
      </w:tblGrid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должностное лицо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______________________</w:t>
      </w:r>
    </w:p>
    <w:p>
      <w:pPr>
        <w:spacing w:before="0" w:after="0" w:line="240"/>
        <w:ind w:right="143" w:left="5245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 руководителя уполномоченного органа)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396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№6</w:t>
      </w:r>
    </w:p>
    <w:p>
      <w:pPr>
        <w:spacing w:before="0" w:after="0" w:line="240"/>
        <w:ind w:right="283" w:left="396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оценки регулирующего воздействия проектов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Зуевского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 проведении экспертизы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Вид и реквизиты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вступления в силу нормативного правового акта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группы субъектов предпринимательской и инвестиционной деятельности, на которых распространено действие нормативного правового акта_______________________________________________________________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Общая характеристика регулируемых общественных отношений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Способ представления мнений: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 посредством почтовой связи по адресу: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направление в форме электронного документа на адрес электронной почты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Контактное лицо (фамилия, имя, отчество, должность, контактный телефон, факс)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Иная информация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consultantplus://offline/ref=A1FD08E24616D8B976558041D0886267B3DA51EBD567819EA94F5F32E7EBFBBDMAq0G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consultantplus://offline/ref=A1FD08E24616D8B976558041D0886267B3DA51EBD567819EA94F5F32E7EBFBBDMAq0G" Id="docRId2" Type="http://schemas.openxmlformats.org/officeDocument/2006/relationships/hyperlink"/><Relationship TargetMode="External" Target="file://C:\Users\Harenkova_EV\Desktop\&#1088;&#1077;&#1075;&#1091;&#1083;&#1080;&#1088;%2520&#1074;&#1086;&#1079;&#1076;.docx" Id="docRId4" Type="http://schemas.openxmlformats.org/officeDocument/2006/relationships/hyperlink"/><Relationship Target="styles.xml" Id="docRId6" Type="http://schemas.openxmlformats.org/officeDocument/2006/relationships/styles"/></Relationships>
</file>