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5.25pt" filled="t">
            <v:fill color2="black"/>
            <v:imagedata r:id="rId5" o:title=""/>
          </v:shape>
        </w:pict>
      </w:r>
    </w:p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>АДМИНИСТРАЦИЯ   ЗУЕВСКОГО  СЕЛЬСОВЕТА</w:t>
      </w:r>
    </w:p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СОЛНЦЕВСКОГО РАЙОНА    КУРСКОЙ ОБЛАСТИ</w:t>
      </w:r>
    </w:p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РАСПОРЯЖЕНИЕ</w:t>
      </w:r>
    </w:p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000000" w:rsidRPr="00A34480" w:rsidRDefault="00A34480">
      <w:pPr>
        <w:pStyle w:val="a8"/>
        <w:tabs>
          <w:tab w:val="clear" w:pos="4677"/>
          <w:tab w:val="clear" w:pos="9355"/>
        </w:tabs>
      </w:pPr>
      <w:r>
        <w:rPr>
          <w:b/>
        </w:rPr>
        <w:t xml:space="preserve"> </w:t>
      </w:r>
      <w:r>
        <w:rPr>
          <w:b/>
        </w:rPr>
        <w:t xml:space="preserve"> г.                                                                                №ПРОЕКТ</w:t>
      </w:r>
    </w:p>
    <w:p w:rsidR="00000000" w:rsidRPr="00A3448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  <w:r w:rsidRPr="00A34480">
        <w:rPr>
          <w:szCs w:val="28"/>
        </w:rPr>
        <w:t xml:space="preserve">   </w:t>
      </w:r>
      <w:r w:rsidRPr="00A34480">
        <w:rPr>
          <w:szCs w:val="28"/>
        </w:rPr>
        <w:t>с</w:t>
      </w:r>
      <w:proofErr w:type="gramStart"/>
      <w:r w:rsidRPr="00A34480">
        <w:rPr>
          <w:szCs w:val="28"/>
        </w:rPr>
        <w:t>.З</w:t>
      </w:r>
      <w:proofErr w:type="gramEnd"/>
      <w:r w:rsidRPr="00A34480">
        <w:rPr>
          <w:szCs w:val="28"/>
        </w:rPr>
        <w:t>уевка</w:t>
      </w:r>
    </w:p>
    <w:p w:rsidR="00000000" w:rsidRDefault="00A34480">
      <w:pPr>
        <w:pStyle w:val="a8"/>
        <w:tabs>
          <w:tab w:val="clear" w:pos="4677"/>
          <w:tab w:val="clear" w:pos="9355"/>
        </w:tabs>
        <w:rPr>
          <w:b/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>О  методике формирования бюджета</w:t>
      </w:r>
    </w:p>
    <w:p w:rsidR="00000000" w:rsidRDefault="00A34480">
      <w:pPr>
        <w:pStyle w:val="a8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>муниципальн</w:t>
      </w:r>
      <w:r>
        <w:rPr>
          <w:b/>
          <w:szCs w:val="28"/>
        </w:rPr>
        <w:t>ого  образования</w:t>
      </w:r>
    </w:p>
    <w:p w:rsidR="00000000" w:rsidRDefault="00A34480">
      <w:pPr>
        <w:pStyle w:val="a8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>«Зуевский  сельсовет»</w:t>
      </w:r>
    </w:p>
    <w:p w:rsidR="00000000" w:rsidRDefault="00A34480">
      <w:pPr>
        <w:pStyle w:val="a8"/>
        <w:tabs>
          <w:tab w:val="clear" w:pos="4677"/>
          <w:tab w:val="clear" w:pos="9355"/>
        </w:tabs>
        <w:rPr>
          <w:b/>
          <w:szCs w:val="28"/>
        </w:rPr>
      </w:pPr>
      <w:proofErr w:type="spellStart"/>
      <w:r>
        <w:rPr>
          <w:b/>
          <w:szCs w:val="28"/>
        </w:rPr>
        <w:t>Солнцевского</w:t>
      </w:r>
      <w:proofErr w:type="spellEnd"/>
      <w:r>
        <w:rPr>
          <w:b/>
          <w:szCs w:val="28"/>
        </w:rPr>
        <w:t xml:space="preserve">  района  </w:t>
      </w:r>
    </w:p>
    <w:p w:rsidR="00000000" w:rsidRDefault="00A34480">
      <w:pPr>
        <w:pStyle w:val="a8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 xml:space="preserve">Курской  области  </w:t>
      </w:r>
    </w:p>
    <w:p w:rsidR="00000000" w:rsidRDefault="00A34480">
      <w:pPr>
        <w:pStyle w:val="a8"/>
        <w:tabs>
          <w:tab w:val="clear" w:pos="4677"/>
          <w:tab w:val="clear" w:pos="9355"/>
        </w:tabs>
        <w:rPr>
          <w:b/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1. Утвердить  методику формирования бюджета муниципального  образования  «Зуевский  сельсовет» </w:t>
      </w:r>
      <w:proofErr w:type="spellStart"/>
      <w:r>
        <w:rPr>
          <w:szCs w:val="28"/>
        </w:rPr>
        <w:t>Солнцевского</w:t>
      </w:r>
      <w:proofErr w:type="spellEnd"/>
      <w:r>
        <w:rPr>
          <w:szCs w:val="28"/>
        </w:rPr>
        <w:t xml:space="preserve">  района  Курской  области  на 2021   год и плановый период 2022 </w:t>
      </w:r>
      <w:r>
        <w:rPr>
          <w:szCs w:val="28"/>
        </w:rPr>
        <w:t>и 2023 годов</w:t>
      </w: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выполнением   данного   распоряжения  оставляю  за  собой.</w:t>
      </w: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4. Распоряжение вступает  в  силу   со  дня   его  подписания.</w:t>
      </w: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Глава  Зуевского сельсовета                                          А.И.Панин</w:t>
      </w: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00000" w:rsidRDefault="00A34480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00000" w:rsidRDefault="00A34480">
      <w:pPr>
        <w:sectPr w:rsidR="00000000">
          <w:pgSz w:w="11905" w:h="16837"/>
          <w:pgMar w:top="284" w:right="851" w:bottom="1134" w:left="1701" w:header="720" w:footer="720" w:gutter="0"/>
          <w:cols w:space="720"/>
          <w:docGrid w:linePitch="360"/>
        </w:sectPr>
      </w:pPr>
    </w:p>
    <w:p w:rsidR="00000000" w:rsidRDefault="00A34480">
      <w:pPr>
        <w:ind w:right="4025"/>
        <w:jc w:val="both"/>
        <w:rPr>
          <w:szCs w:val="28"/>
          <w:lang w:val="ru-RU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4pt;margin-top:-18.55pt;width:224.55pt;height:116.55pt;z-index:251657728;mso-wrap-distance-left:9.05pt;mso-wrap-distance-right:9.05pt;mso-position-horizontal:absolute;mso-position-horizontal-relative:text;mso-position-vertical:absolute;mso-position-vertical-relative:text" strokecolor="white" strokeweight=".5pt">
            <v:fill color2="black"/>
            <v:stroke color2="black"/>
            <v:textbox inset="7.45pt,3.85pt,7.45pt,3.85pt">
              <w:txbxContent>
                <w:p w:rsidR="00000000" w:rsidRDefault="00A34480">
                  <w:pPr>
                    <w:rPr>
                      <w:szCs w:val="28"/>
                    </w:rPr>
                  </w:pPr>
                </w:p>
                <w:p w:rsidR="00000000" w:rsidRDefault="00A3448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</w:t>
                  </w:r>
                </w:p>
                <w:p w:rsidR="00000000" w:rsidRDefault="00A3448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к распоряжению администрации Зуевского сельсовета </w:t>
                  </w:r>
                  <w:proofErr w:type="spellStart"/>
                  <w:r>
                    <w:rPr>
                      <w:szCs w:val="28"/>
                    </w:rPr>
                    <w:t>Солнцевского</w:t>
                  </w:r>
                  <w:proofErr w:type="spellEnd"/>
                  <w:r>
                    <w:rPr>
                      <w:szCs w:val="28"/>
                    </w:rPr>
                    <w:t xml:space="preserve"> района Курской области от  </w:t>
                  </w:r>
                  <w:r>
                    <w:rPr>
                      <w:szCs w:val="28"/>
                    </w:rPr>
                    <w:t xml:space="preserve"> г №  </w:t>
                  </w:r>
                </w:p>
              </w:txbxContent>
            </v:textbox>
          </v:shape>
        </w:pict>
      </w:r>
    </w:p>
    <w:p w:rsidR="00000000" w:rsidRDefault="00A34480">
      <w:pPr>
        <w:shd w:val="clear" w:color="auto" w:fill="FFFFFF"/>
        <w:ind w:right="-1" w:firstLine="709"/>
        <w:rPr>
          <w:b/>
          <w:bCs/>
          <w:color w:val="000000"/>
          <w:spacing w:val="-9"/>
          <w:szCs w:val="28"/>
        </w:rPr>
      </w:pPr>
    </w:p>
    <w:p w:rsidR="00000000" w:rsidRDefault="00A34480">
      <w:pPr>
        <w:shd w:val="clear" w:color="auto" w:fill="FFFFFF"/>
        <w:ind w:right="-1" w:firstLine="709"/>
        <w:rPr>
          <w:b/>
          <w:bCs/>
          <w:color w:val="000000"/>
          <w:spacing w:val="-9"/>
          <w:szCs w:val="28"/>
        </w:rPr>
      </w:pPr>
    </w:p>
    <w:p w:rsidR="00000000" w:rsidRDefault="00A34480">
      <w:pPr>
        <w:shd w:val="clear" w:color="auto" w:fill="FFFFFF"/>
        <w:ind w:right="-1" w:firstLine="709"/>
        <w:rPr>
          <w:b/>
          <w:bCs/>
          <w:color w:val="000000"/>
          <w:spacing w:val="-9"/>
          <w:szCs w:val="28"/>
        </w:rPr>
      </w:pPr>
    </w:p>
    <w:p w:rsidR="00000000" w:rsidRDefault="00A34480">
      <w:pPr>
        <w:shd w:val="clear" w:color="auto" w:fill="FFFFFF"/>
        <w:ind w:right="-1" w:firstLine="709"/>
        <w:rPr>
          <w:b/>
          <w:bCs/>
          <w:color w:val="000000"/>
          <w:spacing w:val="-9"/>
          <w:szCs w:val="28"/>
        </w:rPr>
      </w:pPr>
    </w:p>
    <w:p w:rsidR="00000000" w:rsidRDefault="00A34480">
      <w:pPr>
        <w:shd w:val="clear" w:color="auto" w:fill="FFFFFF"/>
        <w:ind w:right="-1" w:firstLine="709"/>
        <w:rPr>
          <w:b/>
          <w:bCs/>
          <w:color w:val="000000"/>
          <w:spacing w:val="-9"/>
          <w:szCs w:val="28"/>
        </w:rPr>
      </w:pPr>
    </w:p>
    <w:p w:rsidR="00000000" w:rsidRDefault="00A34480">
      <w:pPr>
        <w:shd w:val="clear" w:color="auto" w:fill="FFFFFF"/>
        <w:ind w:right="-1" w:firstLine="709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               </w:t>
      </w:r>
      <w:r>
        <w:rPr>
          <w:b/>
          <w:szCs w:val="28"/>
        </w:rPr>
        <w:t>Методика</w:t>
      </w:r>
    </w:p>
    <w:p w:rsidR="00000000" w:rsidRDefault="00A34480">
      <w:pPr>
        <w:shd w:val="clear" w:color="auto" w:fill="FFFFFF"/>
        <w:ind w:right="-1"/>
        <w:jc w:val="center"/>
        <w:rPr>
          <w:b/>
          <w:szCs w:val="28"/>
        </w:rPr>
      </w:pPr>
      <w:r>
        <w:rPr>
          <w:b/>
          <w:szCs w:val="28"/>
        </w:rPr>
        <w:t>прогнозирования налоговых и неналоговых доходов местного бюджета муниципального образования «Зуевский сельсовет» на 2021   год и плановый период 2022 и 2023 годов</w:t>
      </w:r>
    </w:p>
    <w:p w:rsidR="00000000" w:rsidRDefault="00A34480">
      <w:pPr>
        <w:shd w:val="clear" w:color="auto" w:fill="FFFFFF"/>
        <w:ind w:right="-1" w:firstLine="709"/>
        <w:rPr>
          <w:b/>
          <w:bCs/>
          <w:color w:val="000000"/>
          <w:spacing w:val="-10"/>
          <w:szCs w:val="28"/>
        </w:rPr>
      </w:pPr>
    </w:p>
    <w:p w:rsidR="00000000" w:rsidRDefault="00A34480">
      <w:pPr>
        <w:shd w:val="clear" w:color="auto" w:fill="FFFFFF"/>
        <w:ind w:right="-1" w:firstLine="709"/>
        <w:rPr>
          <w:b/>
          <w:bCs/>
          <w:color w:val="000000"/>
          <w:spacing w:val="-10"/>
          <w:szCs w:val="28"/>
        </w:rPr>
      </w:pP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Доходная база бюджета муниципального образовани</w:t>
      </w:r>
      <w:r>
        <w:rPr>
          <w:color w:val="000000"/>
          <w:szCs w:val="28"/>
        </w:rPr>
        <w:t xml:space="preserve">я «Зуевский сельсовет» </w:t>
      </w:r>
      <w:proofErr w:type="spellStart"/>
      <w:r>
        <w:rPr>
          <w:color w:val="000000"/>
          <w:szCs w:val="28"/>
        </w:rPr>
        <w:t>Солнцевского</w:t>
      </w:r>
      <w:proofErr w:type="spellEnd"/>
      <w:r>
        <w:rPr>
          <w:color w:val="000000"/>
          <w:szCs w:val="28"/>
        </w:rPr>
        <w:t xml:space="preserve"> района на 2021-2023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</w:t>
      </w:r>
      <w:proofErr w:type="gramStart"/>
      <w:r>
        <w:rPr>
          <w:color w:val="000000"/>
          <w:szCs w:val="28"/>
        </w:rPr>
        <w:t xml:space="preserve"> .</w:t>
      </w:r>
      <w:proofErr w:type="gramEnd"/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Прогнозиро</w:t>
      </w:r>
      <w:r>
        <w:rPr>
          <w:color w:val="000000"/>
          <w:szCs w:val="28"/>
        </w:rPr>
        <w:t>вание осуществляется отдельно по каждому виду налога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</w:t>
      </w:r>
      <w:r>
        <w:rPr>
          <w:color w:val="000000"/>
          <w:szCs w:val="28"/>
        </w:rPr>
        <w:t xml:space="preserve">, фонд заработной платы) по муниципальному  образованию. 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000000" w:rsidRDefault="00A34480">
      <w:pPr>
        <w:shd w:val="clear" w:color="auto" w:fill="FFFFFF"/>
        <w:ind w:right="-1" w:firstLine="709"/>
        <w:jc w:val="both"/>
        <w:rPr>
          <w:bCs/>
          <w:color w:val="000000"/>
          <w:szCs w:val="28"/>
          <w:u w:val="single"/>
        </w:rPr>
      </w:pPr>
    </w:p>
    <w:p w:rsidR="00000000" w:rsidRDefault="00A34480">
      <w:pPr>
        <w:ind w:right="-1" w:firstLine="709"/>
        <w:jc w:val="both"/>
        <w:rPr>
          <w:b/>
          <w:bCs/>
          <w:color w:val="000000"/>
          <w:szCs w:val="28"/>
        </w:rPr>
      </w:pPr>
    </w:p>
    <w:p w:rsidR="00000000" w:rsidRDefault="00A34480">
      <w:pPr>
        <w:ind w:right="-1" w:firstLine="709"/>
        <w:jc w:val="both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Налог на доходы физических лиц </w:t>
      </w:r>
      <w:r>
        <w:rPr>
          <w:b/>
          <w:color w:val="000000"/>
          <w:szCs w:val="28"/>
        </w:rPr>
        <w:t xml:space="preserve">(код 1 01 02000 01 0000 </w:t>
      </w:r>
      <w:r>
        <w:rPr>
          <w:b/>
          <w:color w:val="000000"/>
          <w:szCs w:val="28"/>
        </w:rPr>
        <w:t>110)</w:t>
      </w:r>
    </w:p>
    <w:p w:rsidR="00000000" w:rsidRDefault="00A344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>
          <w:rPr>
            <w:rStyle w:val="a4"/>
            <w:rFonts w:ascii="Times New Roman" w:hAnsi="Times New Roman"/>
          </w:rPr>
          <w:t>статьями 227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4"/>
            <w:rFonts w:ascii="Times New Roman" w:hAnsi="Times New Roman"/>
          </w:rPr>
          <w:t>227.1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Style w:val="a4"/>
            <w:rFonts w:ascii="Times New Roman" w:hAnsi="Times New Roman"/>
          </w:rPr>
          <w:t>228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02010 01 0000 110)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Первый вариант – сумма нал</w:t>
      </w:r>
      <w:r>
        <w:rPr>
          <w:color w:val="000000"/>
          <w:szCs w:val="28"/>
        </w:rPr>
        <w:t>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Ожидаемое поступление налога в 2020 году рассчитывается исходя из фактических поступлений сумм налога за </w:t>
      </w:r>
      <w:r>
        <w:rPr>
          <w:color w:val="000000"/>
          <w:szCs w:val="28"/>
        </w:rPr>
        <w:t xml:space="preserve">6 месяцев 2020 года и среднего удельного веса поступлений за соответствующие периоды 2017, 2018 и 2019 годов в фактических годовых поступлениях. 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Второй вариант – сумма налога определяется исходя из фонда заработной платы, планируемого отделом экономики </w:t>
      </w:r>
      <w:proofErr w:type="spellStart"/>
      <w:r>
        <w:rPr>
          <w:color w:val="000000"/>
          <w:szCs w:val="28"/>
        </w:rPr>
        <w:t>Со</w:t>
      </w:r>
      <w:r>
        <w:rPr>
          <w:color w:val="000000"/>
          <w:szCs w:val="28"/>
        </w:rPr>
        <w:t>лнцевского</w:t>
      </w:r>
      <w:proofErr w:type="spellEnd"/>
      <w:r>
        <w:rPr>
          <w:color w:val="000000"/>
          <w:szCs w:val="28"/>
        </w:rPr>
        <w:t xml:space="preserve"> района на 2021 год, и ставки налога в размере 13 %.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Прогнозируемая сумма поступления налога на 2022-2023 годы также рассчитывается по двум вариантам и принимается </w:t>
      </w:r>
      <w:proofErr w:type="gramStart"/>
      <w:r>
        <w:rPr>
          <w:color w:val="000000"/>
          <w:szCs w:val="28"/>
        </w:rPr>
        <w:t>средний</w:t>
      </w:r>
      <w:proofErr w:type="gramEnd"/>
      <w:r>
        <w:rPr>
          <w:color w:val="000000"/>
          <w:szCs w:val="28"/>
        </w:rPr>
        <w:t xml:space="preserve"> из них.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Первый вариант - сумма налога на 2022-2023 годы определяется исход</w:t>
      </w:r>
      <w:r>
        <w:rPr>
          <w:color w:val="000000"/>
          <w:szCs w:val="28"/>
        </w:rPr>
        <w:t xml:space="preserve">я из прогнозируемого поступления налога в 2021 году по первому варианту, </w:t>
      </w:r>
      <w:r>
        <w:rPr>
          <w:color w:val="000000"/>
          <w:szCs w:val="28"/>
        </w:rPr>
        <w:lastRenderedPageBreak/>
        <w:t>скорректированного на ежегодные темпы роста (снижения) фонда заработной платы на 2022-2023 годы.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Второй вариант - сумма налога на 2022-2023 годы определяется исходя из фонда заработно</w:t>
      </w:r>
      <w:r>
        <w:rPr>
          <w:color w:val="000000"/>
          <w:szCs w:val="28"/>
        </w:rPr>
        <w:t xml:space="preserve">й платы, планируемого отделом экономики </w:t>
      </w:r>
      <w:proofErr w:type="spellStart"/>
      <w:r>
        <w:rPr>
          <w:color w:val="000000"/>
          <w:szCs w:val="28"/>
        </w:rPr>
        <w:t>Солнцевского</w:t>
      </w:r>
      <w:proofErr w:type="spellEnd"/>
      <w:r>
        <w:rPr>
          <w:color w:val="000000"/>
          <w:szCs w:val="28"/>
        </w:rPr>
        <w:t xml:space="preserve"> района  Курской области на 2022-2023 годы, и ставки налога в размере 13 %.</w:t>
      </w:r>
    </w:p>
    <w:p w:rsidR="00000000" w:rsidRDefault="00A344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Налог на доходы физических лиц </w:t>
      </w:r>
      <w:r>
        <w:rPr>
          <w:szCs w:val="28"/>
        </w:rPr>
        <w:t>с доходов, полученных от осуществления деятельности физическими лицами, зарегистрированными в ка</w:t>
      </w:r>
      <w:r>
        <w:rPr>
          <w:szCs w:val="28"/>
        </w:rPr>
        <w:t xml:space="preserve">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9" w:history="1">
        <w:r>
          <w:rPr>
            <w:rStyle w:val="a4"/>
          </w:rPr>
          <w:t>статьей 227</w:t>
        </w:r>
      </w:hyperlink>
      <w:r>
        <w:rPr>
          <w:szCs w:val="28"/>
        </w:rPr>
        <w:t xml:space="preserve"> Налогового кодекса Российской Федерации, </w:t>
      </w:r>
      <w:r>
        <w:rPr>
          <w:color w:val="000000"/>
          <w:szCs w:val="28"/>
        </w:rPr>
        <w:t>(код 1 01 02020 01 0000 110</w:t>
      </w:r>
      <w:r>
        <w:rPr>
          <w:color w:val="000000"/>
          <w:spacing w:val="-8"/>
          <w:szCs w:val="28"/>
        </w:rPr>
        <w:t xml:space="preserve">) </w:t>
      </w:r>
      <w:r>
        <w:rPr>
          <w:color w:val="000000"/>
          <w:szCs w:val="28"/>
        </w:rPr>
        <w:t>рассчитывается исходя из ожидаемого поступления налога в 2020 году, скорректированного на ежегодные</w:t>
      </w:r>
      <w:proofErr w:type="gramEnd"/>
      <w:r>
        <w:rPr>
          <w:color w:val="000000"/>
          <w:szCs w:val="28"/>
        </w:rPr>
        <w:t xml:space="preserve"> темпы роста </w:t>
      </w:r>
      <w:r>
        <w:rPr>
          <w:color w:val="000000"/>
          <w:szCs w:val="28"/>
        </w:rPr>
        <w:t xml:space="preserve">(снижения) фонда заработной платы в 2021-2023 годах. </w:t>
      </w:r>
    </w:p>
    <w:p w:rsidR="00000000" w:rsidRDefault="00A344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2020 году рассчитывается исходя из среднего фактического поступления сумм налога в 2018 и 2019 годах.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Прогноз поступлений налога на доходы физических лиц </w:t>
      </w:r>
      <w:r>
        <w:rPr>
          <w:szCs w:val="28"/>
        </w:rPr>
        <w:t>с доходов, получ</w:t>
      </w:r>
      <w:r>
        <w:rPr>
          <w:szCs w:val="28"/>
        </w:rPr>
        <w:t xml:space="preserve">енных физическими лицами в соответствии со </w:t>
      </w:r>
      <w:hyperlink r:id="rId10" w:history="1">
        <w:r>
          <w:rPr>
            <w:rStyle w:val="a4"/>
          </w:rPr>
          <w:t>статьей 228</w:t>
        </w:r>
      </w:hyperlink>
      <w:r>
        <w:rPr>
          <w:szCs w:val="28"/>
        </w:rPr>
        <w:t xml:space="preserve"> Налогового кодекса Российской Федерации </w:t>
      </w:r>
      <w:r>
        <w:rPr>
          <w:color w:val="000000"/>
          <w:szCs w:val="28"/>
        </w:rPr>
        <w:t>(код 1 01 02030 01 0000 110</w:t>
      </w:r>
      <w:r>
        <w:rPr>
          <w:color w:val="000000"/>
          <w:spacing w:val="-8"/>
          <w:szCs w:val="28"/>
        </w:rPr>
        <w:t xml:space="preserve">) 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2021-2023 годах определяется на уровне ожидаемого поступления налога в 2020 году.</w:t>
      </w:r>
    </w:p>
    <w:p w:rsidR="00000000" w:rsidRDefault="00A34480">
      <w:pPr>
        <w:pStyle w:val="ConsPlusNormal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2020 году определяется на уровне фактического поступления налога в 2019 году.</w:t>
      </w:r>
    </w:p>
    <w:p w:rsidR="00000000" w:rsidRDefault="00A344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получении в расчетах отрицательного значения прогноз поступ</w:t>
      </w:r>
      <w:r>
        <w:rPr>
          <w:color w:val="000000"/>
          <w:szCs w:val="28"/>
        </w:rPr>
        <w:t xml:space="preserve">ления налога принимается </w:t>
      </w:r>
      <w:proofErr w:type="gramStart"/>
      <w:r>
        <w:rPr>
          <w:color w:val="000000"/>
          <w:szCs w:val="28"/>
        </w:rPr>
        <w:t>равным</w:t>
      </w:r>
      <w:proofErr w:type="gramEnd"/>
      <w:r>
        <w:rPr>
          <w:color w:val="000000"/>
          <w:szCs w:val="28"/>
        </w:rPr>
        <w:t xml:space="preserve"> нулю.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</w:r>
      <w:r>
        <w:rPr>
          <w:bCs/>
          <w:color w:val="000000"/>
          <w:szCs w:val="28"/>
        </w:rPr>
        <w:t xml:space="preserve"> в соответствии со статьей 227.1 Налогового кодекса Российской Федерации</w:t>
      </w:r>
      <w:r>
        <w:rPr>
          <w:szCs w:val="28"/>
        </w:rPr>
        <w:t xml:space="preserve"> (код 1 01 02040 01 0000 110), </w:t>
      </w:r>
      <w:r>
        <w:rPr>
          <w:color w:val="000000"/>
          <w:szCs w:val="28"/>
        </w:rPr>
        <w:t>рассчитывается исходя из ожидаемого поступления налога в 2020 году, скорректированного на сводные индексы потребительских цен (все товары и</w:t>
      </w:r>
      <w:proofErr w:type="gramEnd"/>
      <w:r>
        <w:rPr>
          <w:color w:val="000000"/>
          <w:szCs w:val="28"/>
        </w:rPr>
        <w:t xml:space="preserve"> платные услуг</w:t>
      </w:r>
      <w:r>
        <w:rPr>
          <w:color w:val="000000"/>
          <w:szCs w:val="28"/>
        </w:rPr>
        <w:t>и), прогнозируемые в целом по Курской области на 2021-2023 годы.</w:t>
      </w:r>
    </w:p>
    <w:p w:rsidR="00000000" w:rsidRDefault="00A34480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2020 году рассчитывается исходя из фактических поступлений сумм налога за 2019 год, скорректированных на сводный индекс потребительских цен (все товары и платны</w:t>
      </w:r>
      <w:r>
        <w:rPr>
          <w:rFonts w:ascii="Times New Roman" w:hAnsi="Times New Roman" w:cs="Times New Roman"/>
          <w:color w:val="000000"/>
          <w:sz w:val="28"/>
          <w:szCs w:val="28"/>
        </w:rPr>
        <w:t>е услуги), прогнозируемый в целом по Курской области на 2020 год.</w:t>
      </w:r>
    </w:p>
    <w:p w:rsidR="00000000" w:rsidRDefault="00A34480">
      <w:pPr>
        <w:ind w:right="-1" w:firstLine="709"/>
        <w:rPr>
          <w:color w:val="000000"/>
          <w:szCs w:val="28"/>
        </w:rPr>
      </w:pP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</w:p>
    <w:p w:rsidR="00000000" w:rsidRDefault="00A34480">
      <w:pPr>
        <w:pStyle w:val="ad"/>
        <w:ind w:right="-1" w:firstLine="709"/>
        <w:jc w:val="both"/>
        <w:rPr>
          <w:b w:val="0"/>
          <w:bCs w:val="0"/>
          <w:color w:val="000000"/>
        </w:rPr>
      </w:pPr>
      <w:r>
        <w:rPr>
          <w:bCs w:val="0"/>
          <w:color w:val="000000"/>
        </w:rPr>
        <w:t>Единый сельскохозяйственный налог</w:t>
      </w:r>
      <w:r>
        <w:rPr>
          <w:b w:val="0"/>
          <w:bCs w:val="0"/>
          <w:color w:val="000000"/>
        </w:rPr>
        <w:t xml:space="preserve"> (код 1 05 03010 01 0000 110)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Прогноз поступлений налога в 2021-2023 годах </w:t>
      </w:r>
      <w:r>
        <w:rPr>
          <w:color w:val="000000"/>
          <w:szCs w:val="28"/>
        </w:rPr>
        <w:t>рассчитывается исходя из ожидаемого поступления налога в 2020 году, скорректиров</w:t>
      </w:r>
      <w:r>
        <w:rPr>
          <w:color w:val="000000"/>
          <w:szCs w:val="28"/>
        </w:rPr>
        <w:t>анного на ежегодные индексы-дефляторы цен сельскохозяйственной продукции, прогнозируемые на 2021-2023 годы.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Ожидаемое поступление налога в 2020 году рассчитывается исходя из фактических поступлений сумм налога за 6 месяцев 2020 года и удельного веса поступ</w:t>
      </w:r>
      <w:r>
        <w:rPr>
          <w:color w:val="000000"/>
          <w:szCs w:val="28"/>
        </w:rPr>
        <w:t>лений за соответствующий период 2019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</w:t>
      </w:r>
      <w:r>
        <w:rPr>
          <w:color w:val="000000"/>
          <w:szCs w:val="28"/>
        </w:rPr>
        <w:t>асти, в расчёт принимается удельный вес равный 100 процентам и средний по области соответственно.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отсутствии у поселения инд</w:t>
      </w:r>
      <w:r>
        <w:rPr>
          <w:color w:val="000000"/>
          <w:szCs w:val="28"/>
        </w:rPr>
        <w:t>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color w:val="000000"/>
          <w:szCs w:val="28"/>
        </w:rPr>
        <w:t>равным</w:t>
      </w:r>
      <w:proofErr w:type="gramEnd"/>
      <w:r>
        <w:rPr>
          <w:color w:val="000000"/>
          <w:szCs w:val="28"/>
        </w:rPr>
        <w:t xml:space="preserve"> нулю. </w:t>
      </w:r>
    </w:p>
    <w:p w:rsidR="00000000" w:rsidRDefault="00A34480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Cs w:val="28"/>
        </w:rPr>
      </w:pPr>
    </w:p>
    <w:p w:rsidR="00000000" w:rsidRDefault="00A34480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На</w:t>
      </w:r>
      <w:r>
        <w:rPr>
          <w:b/>
          <w:color w:val="000000"/>
          <w:szCs w:val="28"/>
        </w:rPr>
        <w:t>лог на имущество физических лиц</w:t>
      </w:r>
      <w:r>
        <w:rPr>
          <w:color w:val="000000"/>
          <w:szCs w:val="28"/>
        </w:rPr>
        <w:t xml:space="preserve"> (код 1 06 01000 00 0000 110)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Прогноз поступлений налога на 2021-2023 годы рассчитывается исходя из ожидаемого поступления налога в 2020 году.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Ожидаемое поступление в 2020 году определяется на уровне фактического поступления </w:t>
      </w:r>
      <w:r>
        <w:rPr>
          <w:color w:val="000000"/>
          <w:szCs w:val="28"/>
        </w:rPr>
        <w:t>налога в 2019 году.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</w:p>
    <w:p w:rsidR="00000000" w:rsidRDefault="00A34480">
      <w:pPr>
        <w:shd w:val="clear" w:color="auto" w:fill="FFFFFF"/>
        <w:tabs>
          <w:tab w:val="left" w:pos="1819"/>
        </w:tabs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</w:p>
    <w:p w:rsidR="00000000" w:rsidRDefault="00A34480">
      <w:pPr>
        <w:tabs>
          <w:tab w:val="left" w:pos="851"/>
        </w:tabs>
        <w:ind w:right="-1" w:firstLine="709"/>
        <w:jc w:val="both"/>
        <w:rPr>
          <w:color w:val="000000"/>
          <w:szCs w:val="28"/>
        </w:rPr>
      </w:pPr>
    </w:p>
    <w:p w:rsidR="00000000" w:rsidRDefault="00A34480">
      <w:pPr>
        <w:tabs>
          <w:tab w:val="left" w:pos="851"/>
        </w:tabs>
        <w:ind w:right="-1" w:firstLine="709"/>
        <w:jc w:val="both"/>
        <w:rPr>
          <w:color w:val="000000"/>
          <w:szCs w:val="28"/>
        </w:rPr>
      </w:pP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Земельный налог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(код 1 06 06000 00 0000 110)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Прогноз поступлений земельного налога на 2021-2023 годы определяется на уровне ожидаемого поступления налога в 2020 году.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Ожидаемое поступление налога в 2020 году рассчитывается</w:t>
      </w:r>
      <w:r>
        <w:rPr>
          <w:color w:val="000000"/>
          <w:szCs w:val="28"/>
        </w:rPr>
        <w:t xml:space="preserve"> исходя из среднего значения фактических поступлений сумм налога в 2018 и 2019 годах.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</w:p>
    <w:p w:rsidR="00000000" w:rsidRDefault="00A34480">
      <w:pPr>
        <w:autoSpaceDE w:val="0"/>
        <w:jc w:val="both"/>
        <w:rPr>
          <w:color w:val="000000"/>
          <w:szCs w:val="28"/>
        </w:rPr>
      </w:pPr>
      <w:r>
        <w:rPr>
          <w:b/>
          <w:bCs/>
          <w:szCs w:val="28"/>
        </w:rPr>
        <w:t xml:space="preserve">            </w:t>
      </w:r>
      <w:r>
        <w:rPr>
          <w:b/>
          <w:bCs/>
          <w:szCs w:val="28"/>
        </w:rPr>
        <w:t xml:space="preserve">Государственная пошлина </w:t>
      </w:r>
      <w:r>
        <w:rPr>
          <w:color w:val="000000"/>
          <w:szCs w:val="28"/>
        </w:rPr>
        <w:t xml:space="preserve">(коды </w:t>
      </w:r>
      <w:r>
        <w:rPr>
          <w:szCs w:val="28"/>
        </w:rPr>
        <w:t>1 08 04000 01 0000 110</w:t>
      </w:r>
      <w:r>
        <w:rPr>
          <w:color w:val="000000"/>
          <w:szCs w:val="28"/>
        </w:rPr>
        <w:t>)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Прогнозируемое поступление государственной пошлины </w:t>
      </w:r>
      <w:r>
        <w:rPr>
          <w:bCs/>
          <w:color w:val="000000"/>
          <w:szCs w:val="28"/>
        </w:rPr>
        <w:t xml:space="preserve">в 2021-2023 годах </w:t>
      </w:r>
      <w:r>
        <w:rPr>
          <w:color w:val="000000"/>
          <w:szCs w:val="28"/>
        </w:rPr>
        <w:t xml:space="preserve">определяется на уровне ожидаемого </w:t>
      </w:r>
      <w:r>
        <w:rPr>
          <w:color w:val="000000"/>
          <w:szCs w:val="28"/>
        </w:rPr>
        <w:t>поступления в 2020 году.</w:t>
      </w:r>
    </w:p>
    <w:p w:rsidR="00000000" w:rsidRDefault="00A34480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Ожидаемое поступление в 2020 году рассчитывается исходя из фактических поступлений сумм пошлины за 6 месяцев 2020 года и удельного веса поступлений за соответствующий период 2019 года в фактических годовых поступлениях 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.</w:t>
      </w:r>
    </w:p>
    <w:p w:rsidR="00000000" w:rsidRDefault="00A34480">
      <w:pPr>
        <w:shd w:val="clear" w:color="auto" w:fill="FFFFFF"/>
        <w:ind w:right="-1" w:firstLine="709"/>
        <w:jc w:val="both"/>
        <w:rPr>
          <w:bCs/>
          <w:color w:val="000000"/>
          <w:szCs w:val="28"/>
        </w:rPr>
      </w:pPr>
    </w:p>
    <w:p w:rsidR="00000000" w:rsidRDefault="00A3448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A3448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Доходы,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чреждений)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(коды 1 11 05024 04 0000 120; 1 11 05025 05 0000 120; 1 11 05025 10 0000 120;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1 11 05025 13 0000 120)</w:t>
      </w:r>
      <w:proofErr w:type="gramEnd"/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Поступление арендной платы за земли на 2021-2023 годы прогнозируется на уровне ожидаемого поступления доходов в 2020 году.</w:t>
      </w:r>
    </w:p>
    <w:p w:rsidR="00000000" w:rsidRDefault="00A3448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в 2020 году рассчитывается исходя из фактического поступления доходов во 2 полугодии 2019 года и в 1 полугодии 2020 года.</w:t>
      </w:r>
    </w:p>
    <w:p w:rsidR="00000000" w:rsidRDefault="00A3448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A3448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Доходы от оказания платных услуг (работ) и компенсации затрат государства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(код 1 13 00000 00 0000 000)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Поступление доходов от оказ</w:t>
      </w:r>
      <w:r>
        <w:rPr>
          <w:bCs/>
          <w:color w:val="000000"/>
          <w:szCs w:val="28"/>
        </w:rPr>
        <w:t xml:space="preserve">ания платных услуг и компенсации затрат государства </w:t>
      </w:r>
      <w:r>
        <w:rPr>
          <w:color w:val="000000"/>
          <w:szCs w:val="28"/>
        </w:rPr>
        <w:t xml:space="preserve">(код 1 13 00000 00 0000 000) </w:t>
      </w:r>
      <w:r>
        <w:rPr>
          <w:bCs/>
          <w:color w:val="000000"/>
          <w:szCs w:val="28"/>
        </w:rPr>
        <w:t xml:space="preserve">в местные бюджеты </w:t>
      </w:r>
      <w:r>
        <w:rPr>
          <w:color w:val="000000"/>
          <w:szCs w:val="28"/>
        </w:rPr>
        <w:t>на 2021-2023 годы прогнозируется на уровне ожидаемого поступления доходов в 2020 году.</w:t>
      </w:r>
    </w:p>
    <w:p w:rsidR="00000000" w:rsidRDefault="00A3448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2020 году рассчитывается исходя из фактическог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поступления доходов во 2 полугодии 2019 года и в 1 полугодии 2020 года.</w:t>
      </w:r>
    </w:p>
    <w:p w:rsidR="00000000" w:rsidRDefault="00A34480">
      <w:pPr>
        <w:pStyle w:val="ab"/>
        <w:ind w:firstLine="0"/>
        <w:jc w:val="center"/>
        <w:rPr>
          <w:b/>
        </w:rPr>
      </w:pPr>
    </w:p>
    <w:p w:rsidR="00000000" w:rsidRDefault="00A34480">
      <w:pPr>
        <w:pStyle w:val="ab"/>
        <w:ind w:firstLine="0"/>
        <w:jc w:val="center"/>
        <w:rPr>
          <w:b/>
        </w:rPr>
      </w:pPr>
    </w:p>
    <w:p w:rsidR="00000000" w:rsidRDefault="00A34480">
      <w:pPr>
        <w:tabs>
          <w:tab w:val="left" w:pos="709"/>
          <w:tab w:val="left" w:pos="851"/>
        </w:tabs>
        <w:ind w:right="-1" w:firstLine="709"/>
        <w:jc w:val="both"/>
        <w:rPr>
          <w:bCs/>
          <w:color w:val="000000"/>
          <w:spacing w:val="-14"/>
          <w:szCs w:val="28"/>
        </w:rPr>
      </w:pPr>
      <w:r>
        <w:rPr>
          <w:b/>
          <w:bCs/>
          <w:color w:val="000000"/>
          <w:spacing w:val="-14"/>
          <w:szCs w:val="28"/>
        </w:rPr>
        <w:t xml:space="preserve">Штрафы, санкции, возмещение ущерба </w:t>
      </w:r>
      <w:r>
        <w:rPr>
          <w:bCs/>
          <w:color w:val="000000"/>
          <w:spacing w:val="-14"/>
          <w:szCs w:val="28"/>
        </w:rPr>
        <w:t>(код 1 16 00000 00 0000 000)</w:t>
      </w:r>
    </w:p>
    <w:p w:rsidR="00000000" w:rsidRDefault="00A34480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Поступление платежей в местные бюджеты в 2018-2020 годах по кодам  1 16 32000 10 0000 140; 1 16 33050 10 0000 140; </w:t>
      </w:r>
      <w:r>
        <w:rPr>
          <w:szCs w:val="28"/>
        </w:rPr>
        <w:t>1</w:t>
      </w:r>
      <w:r>
        <w:rPr>
          <w:szCs w:val="28"/>
        </w:rPr>
        <w:t xml:space="preserve"> 16 90050 10 0000 140 прогнозируется на уровне </w:t>
      </w:r>
      <w:r>
        <w:rPr>
          <w:color w:val="000000"/>
          <w:szCs w:val="28"/>
        </w:rPr>
        <w:t>фактического поступления доходов в 2020 году.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color w:val="000000"/>
          <w:szCs w:val="28"/>
        </w:rPr>
        <w:t>равным</w:t>
      </w:r>
      <w:proofErr w:type="gramEnd"/>
      <w:r>
        <w:rPr>
          <w:color w:val="000000"/>
          <w:szCs w:val="28"/>
        </w:rPr>
        <w:t xml:space="preserve"> нулю.</w:t>
      </w:r>
    </w:p>
    <w:p w:rsidR="00000000" w:rsidRDefault="00A34480">
      <w:pPr>
        <w:shd w:val="clear" w:color="auto" w:fill="FFFFFF"/>
        <w:ind w:right="-1" w:firstLine="709"/>
        <w:jc w:val="both"/>
        <w:rPr>
          <w:color w:val="000000"/>
          <w:szCs w:val="28"/>
        </w:rPr>
      </w:pPr>
    </w:p>
    <w:p w:rsidR="00000000" w:rsidRDefault="00A34480">
      <w:pPr>
        <w:pStyle w:val="ab"/>
        <w:ind w:firstLine="0"/>
        <w:jc w:val="center"/>
        <w:rPr>
          <w:b/>
        </w:rPr>
      </w:pPr>
    </w:p>
    <w:p w:rsidR="00000000" w:rsidRDefault="00A34480">
      <w:pPr>
        <w:pStyle w:val="ab"/>
        <w:ind w:firstLine="0"/>
        <w:jc w:val="center"/>
        <w:rPr>
          <w:b/>
        </w:rPr>
      </w:pPr>
    </w:p>
    <w:p w:rsidR="00000000" w:rsidRDefault="00A34480">
      <w:pPr>
        <w:pStyle w:val="ab"/>
        <w:ind w:firstLine="0"/>
        <w:jc w:val="center"/>
        <w:rPr>
          <w:b/>
        </w:rPr>
      </w:pPr>
    </w:p>
    <w:p w:rsidR="00000000" w:rsidRDefault="00A34480">
      <w:pPr>
        <w:pStyle w:val="ab"/>
        <w:ind w:firstLine="0"/>
        <w:jc w:val="center"/>
        <w:rPr>
          <w:b/>
        </w:rPr>
      </w:pPr>
    </w:p>
    <w:p w:rsidR="00000000" w:rsidRDefault="00A34480">
      <w:pPr>
        <w:pStyle w:val="ab"/>
        <w:ind w:firstLine="0"/>
        <w:jc w:val="center"/>
        <w:rPr>
          <w:b/>
        </w:rPr>
      </w:pPr>
    </w:p>
    <w:p w:rsidR="00000000" w:rsidRDefault="00A34480">
      <w:pPr>
        <w:pStyle w:val="ab"/>
        <w:ind w:firstLine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Общие подходы к планированию расходов бюджета       </w:t>
      </w:r>
      <w:r>
        <w:rPr>
          <w:b/>
        </w:rPr>
        <w:t xml:space="preserve">                   муниципального образования «Зуевский сельсовет» </w:t>
      </w:r>
      <w:proofErr w:type="spellStart"/>
      <w:r>
        <w:rPr>
          <w:b/>
        </w:rPr>
        <w:t>Солнцевского</w:t>
      </w:r>
      <w:proofErr w:type="spellEnd"/>
      <w:r>
        <w:rPr>
          <w:b/>
        </w:rPr>
        <w:t xml:space="preserve"> района Курской области на 2021 год  </w:t>
      </w:r>
    </w:p>
    <w:p w:rsidR="00000000" w:rsidRDefault="00A34480">
      <w:pPr>
        <w:pStyle w:val="ab"/>
        <w:ind w:firstLine="709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Общие подходы к планированию расходов бюджета муниципального образования.</w:t>
      </w:r>
      <w:proofErr w:type="gramEnd"/>
    </w:p>
    <w:p w:rsidR="00000000" w:rsidRDefault="00A34480">
      <w:pPr>
        <w:pStyle w:val="consplusnonformat"/>
        <w:shd w:val="clear" w:color="auto" w:fill="FFFFFF"/>
        <w:spacing w:before="0" w:after="0" w:line="312" w:lineRule="atLeast"/>
        <w:ind w:right="680" w:firstLine="708"/>
        <w:jc w:val="both"/>
        <w:textAlignment w:val="baseline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В основу прогноза расходов  бюджета муниципального образования</w:t>
      </w:r>
      <w:r>
        <w:rPr>
          <w:color w:val="333333"/>
          <w:sz w:val="28"/>
          <w:szCs w:val="28"/>
        </w:rPr>
        <w:t xml:space="preserve">   «Зуевский сельсовет» </w:t>
      </w:r>
      <w:proofErr w:type="spellStart"/>
      <w:r>
        <w:rPr>
          <w:color w:val="333333"/>
          <w:sz w:val="28"/>
          <w:szCs w:val="28"/>
        </w:rPr>
        <w:t>Солнцевского</w:t>
      </w:r>
      <w:proofErr w:type="spellEnd"/>
      <w:r>
        <w:rPr>
          <w:color w:val="333333"/>
          <w:sz w:val="28"/>
          <w:szCs w:val="28"/>
        </w:rPr>
        <w:t xml:space="preserve"> района Курской области 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</w:t>
      </w:r>
      <w:r>
        <w:rPr>
          <w:color w:val="333333"/>
          <w:sz w:val="28"/>
          <w:szCs w:val="28"/>
        </w:rPr>
        <w:t>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г. № 131-ФЗ «Об общих принципах организации местного самоуправления в Российской Федерации</w:t>
      </w:r>
      <w:r>
        <w:rPr>
          <w:color w:val="333333"/>
          <w:sz w:val="28"/>
          <w:szCs w:val="28"/>
        </w:rPr>
        <w:t>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2021 год и плановый период 2022 и 2023 годов, разработанные Министерством финан</w:t>
      </w:r>
      <w:r>
        <w:rPr>
          <w:color w:val="333333"/>
          <w:sz w:val="28"/>
          <w:szCs w:val="28"/>
        </w:rPr>
        <w:t>сов Российской Федерации, приказ Министерства финансов Российской Федерации от 1 июля 2013 года № 65н «Об утверждении Указаний о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порядке применения бюджетной классификации Российской Федерации» (с учетом изменений и дополнений), Основные направления бюджет</w:t>
      </w:r>
      <w:r>
        <w:rPr>
          <w:color w:val="333333"/>
          <w:sz w:val="28"/>
          <w:szCs w:val="28"/>
        </w:rPr>
        <w:t>ной и налоговой политики Курской области на 2021 год и на плановый период 2022 и 2023 годов, а также проект  закона Курской области «Об областном бюджете на 2021 год и на плановый период 2022 и 2023 годов».</w:t>
      </w:r>
      <w:proofErr w:type="gramEnd"/>
    </w:p>
    <w:p w:rsidR="00000000" w:rsidRDefault="00A34480">
      <w:pPr>
        <w:pStyle w:val="ab"/>
        <w:ind w:firstLine="709"/>
        <w:rPr>
          <w:b/>
        </w:rPr>
      </w:pPr>
    </w:p>
    <w:p w:rsidR="00000000" w:rsidRDefault="00A34480">
      <w:pPr>
        <w:pStyle w:val="ac"/>
        <w:shd w:val="clear" w:color="auto" w:fill="FFFFFF"/>
        <w:spacing w:before="0" w:after="0" w:line="312" w:lineRule="atLeast"/>
        <w:ind w:right="680"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Планирование объемов расходов муниципального обр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азования   «Зуевский сельсовет»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Курской области на 2021 год и на плановый период 2022 и 2023 годов осуществлялось в рамках муниципальных  программ муниципального образования   «Зуевский сельсовет»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Курской области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</w:rPr>
        <w:t>епрограммных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мероприятий.</w:t>
      </w:r>
    </w:p>
    <w:p w:rsidR="00000000" w:rsidRDefault="00A34480">
      <w:pPr>
        <w:pStyle w:val="ac"/>
        <w:shd w:val="clear" w:color="auto" w:fill="FFFFFF"/>
        <w:spacing w:before="0" w:after="0" w:line="312" w:lineRule="atLeast"/>
        <w:ind w:right="680"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Формирование объема и структуры расходов  бюджета муниципального образования  на 2021 год и на плановый период 2022 и 2023 годов осуществлялось исходя из следующих основных подходов:</w:t>
      </w:r>
    </w:p>
    <w:p w:rsidR="00000000" w:rsidRDefault="00A34480">
      <w:pPr>
        <w:pStyle w:val="ac"/>
        <w:shd w:val="clear" w:color="auto" w:fill="FFFFFF"/>
        <w:spacing w:before="0" w:after="0" w:line="312" w:lineRule="atLeast"/>
        <w:ind w:right="680"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определение «базовых» объемов бюджетных ассигно</w:t>
      </w:r>
      <w:r>
        <w:rPr>
          <w:rFonts w:ascii="Times New Roman" w:hAnsi="Times New Roman" w:cs="Times New Roman"/>
          <w:color w:val="333333"/>
          <w:sz w:val="28"/>
          <w:szCs w:val="28"/>
        </w:rPr>
        <w:t>ваний на 2021 год на основании бюджетных ассигнований по состоянию на 01.07.2020 года;</w:t>
      </w:r>
    </w:p>
    <w:p w:rsidR="00000000" w:rsidRDefault="00A34480">
      <w:pPr>
        <w:pStyle w:val="ab"/>
        <w:ind w:firstLine="709"/>
        <w:rPr>
          <w:color w:val="333333"/>
        </w:rPr>
      </w:pPr>
      <w:r>
        <w:rPr>
          <w:color w:val="333333"/>
        </w:rPr>
        <w:t>исключение расходов, производимых в 2020 году в соответствии с разовыми решениями о финансировании из  бюджета муниципального образования, и (или) расходов на реализацию</w:t>
      </w:r>
      <w:r>
        <w:rPr>
          <w:color w:val="333333"/>
        </w:rPr>
        <w:t xml:space="preserve"> решений, срок действий которых завершается</w:t>
      </w:r>
    </w:p>
    <w:p w:rsidR="00000000" w:rsidRDefault="00A34480">
      <w:pPr>
        <w:pStyle w:val="ab"/>
        <w:ind w:firstLine="709"/>
        <w:rPr>
          <w:b/>
        </w:rPr>
      </w:pPr>
    </w:p>
    <w:p w:rsidR="00000000" w:rsidRDefault="00A34480">
      <w:pPr>
        <w:pStyle w:val="ac"/>
        <w:shd w:val="clear" w:color="auto" w:fill="FFFFFF"/>
        <w:spacing w:before="0" w:after="0" w:line="312" w:lineRule="atLeast"/>
        <w:ind w:right="680"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Планирование расходов  бюджета муниципального образования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000000" w:rsidRDefault="00A34480">
      <w:pPr>
        <w:pStyle w:val="ab"/>
        <w:ind w:firstLine="0"/>
      </w:pPr>
    </w:p>
    <w:p w:rsidR="00000000" w:rsidRDefault="00A34480">
      <w:r>
        <w:t xml:space="preserve">    1) оплату труда работников органов местного самоуправления и текущее содержание органов местного самоуправления осуществлялось исходя из устано</w:t>
      </w:r>
      <w:r>
        <w:t>вленного для муниципального образования норматива формирования расходов на содержание органов местного самоуправления, и нормативных актов, регулирующих оплату труда;</w:t>
      </w:r>
    </w:p>
    <w:p w:rsidR="00000000" w:rsidRDefault="00A34480">
      <w:r>
        <w:t xml:space="preserve">    2)планирование бюджетных ассигнований на реализацию положений Указа Президента от 7 м</w:t>
      </w:r>
      <w:r>
        <w:t>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000000" w:rsidRDefault="00A34480">
      <w:pPr>
        <w:pStyle w:val="ac"/>
        <w:shd w:val="clear" w:color="auto" w:fill="FFFFFF"/>
        <w:spacing w:before="0" w:after="0" w:line="312" w:lineRule="atLeast"/>
        <w:ind w:left="1719" w:right="680"/>
        <w:jc w:val="both"/>
        <w:textAlignment w:val="baseline"/>
        <w:rPr>
          <w:rFonts w:ascii="Tahoma" w:hAnsi="Tahoma" w:cs="Tahoma"/>
          <w:color w:val="333333"/>
          <w:sz w:val="28"/>
          <w:szCs w:val="28"/>
        </w:rPr>
      </w:pPr>
    </w:p>
    <w:p w:rsidR="00000000" w:rsidRDefault="00A34480">
      <w:pPr>
        <w:ind w:firstLine="709"/>
        <w:jc w:val="both"/>
        <w:rPr>
          <w:szCs w:val="28"/>
        </w:rPr>
      </w:pPr>
      <w:proofErr w:type="gramStart"/>
      <w:r>
        <w:t xml:space="preserve">3) </w:t>
      </w:r>
      <w:r>
        <w:rPr>
          <w:szCs w:val="28"/>
        </w:rPr>
        <w:t xml:space="preserve"> по начислениям на оплату труда в соответствии с Федеральны</w:t>
      </w:r>
      <w:r>
        <w:rPr>
          <w:szCs w:val="28"/>
        </w:rPr>
        <w:t>ми законами от 30.11.2011 г. № 356-ФЗ «О страховых тарифах на обязательное социальное страхование от несчастных случаев на производстве и профессиональных заболеваний на 2012 год и на плановый период 2013 и 2014 годов» и от 24.07.2009 г. № 212-ФЗ «О страхо</w:t>
      </w:r>
      <w:r>
        <w:rPr>
          <w:szCs w:val="28"/>
        </w:rPr>
        <w:t>вых взносах в Пенсионный Фонд Российской Федерации, Фонд социального страхования Российской Федерации, Федеральный</w:t>
      </w:r>
      <w:proofErr w:type="gramEnd"/>
      <w:r>
        <w:rPr>
          <w:szCs w:val="28"/>
        </w:rPr>
        <w:t xml:space="preserve"> фонд обязательного медицинского страхования и территориальные фонды обязательного медицинского страхования» установлен тариф страховых взносо</w:t>
      </w:r>
      <w:r>
        <w:rPr>
          <w:szCs w:val="28"/>
        </w:rPr>
        <w:t>в в государственные внебюджетные фонды в размере 30,2 %;</w:t>
      </w:r>
    </w:p>
    <w:p w:rsidR="00000000" w:rsidRDefault="00A34480">
      <w:pPr>
        <w:autoSpaceDE w:val="0"/>
        <w:ind w:firstLine="684"/>
        <w:jc w:val="both"/>
      </w:pPr>
    </w:p>
    <w:p w:rsidR="00000000" w:rsidRDefault="00A34480">
      <w:pPr>
        <w:pStyle w:val="15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4) расходы на работы, услуги по содержанию имущества, прочие работы и услуги, прочие расходы на уровне  или ниже утвержденного бюджета на 01.01.2020 года</w:t>
      </w:r>
    </w:p>
    <w:p w:rsidR="00000000" w:rsidRDefault="00A34480">
      <w:pPr>
        <w:pStyle w:val="15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5) доходы и расходы от платных услуг, и иной</w:t>
      </w:r>
      <w:r>
        <w:rPr>
          <w:rFonts w:ascii="Times New Roman" w:hAnsi="Times New Roman" w:cs="Times New Roman"/>
          <w:szCs w:val="28"/>
        </w:rPr>
        <w:t xml:space="preserve"> приносящей доход деятельности казенных учреждений планируются по данным, полученным от главных распорядителей средств местного бюджета.</w:t>
      </w:r>
    </w:p>
    <w:p w:rsidR="00000000" w:rsidRDefault="00A34480">
      <w:pPr>
        <w:pStyle w:val="15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6) расходы по остальным материальным затратам по соответствующим разделам и подразделам предусмотрены  ниже утвержденно</w:t>
      </w:r>
      <w:r>
        <w:rPr>
          <w:rFonts w:ascii="Times New Roman" w:hAnsi="Times New Roman" w:cs="Times New Roman"/>
          <w:szCs w:val="28"/>
        </w:rPr>
        <w:t>го бюджета  2020 года.</w:t>
      </w:r>
    </w:p>
    <w:p w:rsidR="00000000" w:rsidRDefault="00A34480">
      <w:pPr>
        <w:pStyle w:val="ab"/>
        <w:ind w:firstLine="709"/>
      </w:pPr>
    </w:p>
    <w:p w:rsidR="00000000" w:rsidRDefault="00A34480">
      <w:pPr>
        <w:pStyle w:val="ab"/>
        <w:ind w:firstLine="709"/>
      </w:pPr>
    </w:p>
    <w:p w:rsidR="00000000" w:rsidRDefault="00A34480">
      <w:pPr>
        <w:pStyle w:val="ab"/>
        <w:ind w:firstLine="709"/>
      </w:pPr>
    </w:p>
    <w:p w:rsidR="00000000" w:rsidRDefault="00A34480">
      <w:pPr>
        <w:pStyle w:val="ab"/>
        <w:ind w:firstLine="709"/>
      </w:pPr>
    </w:p>
    <w:p w:rsidR="00000000" w:rsidRDefault="00A34480">
      <w:pPr>
        <w:pStyle w:val="ab"/>
        <w:ind w:firstLine="709"/>
      </w:pPr>
    </w:p>
    <w:p w:rsidR="00000000" w:rsidRDefault="00A34480">
      <w:pPr>
        <w:pStyle w:val="ab"/>
        <w:ind w:firstLine="709"/>
      </w:pPr>
    </w:p>
    <w:p w:rsidR="00000000" w:rsidRDefault="00A34480">
      <w:pPr>
        <w:jc w:val="center"/>
        <w:rPr>
          <w:b/>
          <w:bCs/>
          <w:caps/>
          <w:szCs w:val="28"/>
        </w:rPr>
      </w:pPr>
    </w:p>
    <w:p w:rsidR="00000000" w:rsidRDefault="00A34480">
      <w:pPr>
        <w:jc w:val="center"/>
        <w:rPr>
          <w:b/>
          <w:bCs/>
          <w:spacing w:val="-9"/>
          <w:szCs w:val="28"/>
        </w:rPr>
      </w:pP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 xml:space="preserve">. Отдельные особенности </w:t>
      </w:r>
      <w:r>
        <w:rPr>
          <w:b/>
          <w:bCs/>
          <w:spacing w:val="-9"/>
          <w:szCs w:val="28"/>
        </w:rPr>
        <w:t xml:space="preserve">планирования бюджетных ассигнований </w:t>
      </w:r>
    </w:p>
    <w:p w:rsidR="00000000" w:rsidRDefault="00A34480">
      <w:pPr>
        <w:jc w:val="center"/>
        <w:rPr>
          <w:b/>
          <w:bCs/>
          <w:spacing w:val="-9"/>
          <w:szCs w:val="28"/>
        </w:rPr>
      </w:pPr>
      <w:r>
        <w:rPr>
          <w:b/>
          <w:bCs/>
          <w:spacing w:val="-9"/>
          <w:szCs w:val="28"/>
        </w:rPr>
        <w:t>областного бюджета</w:t>
      </w:r>
    </w:p>
    <w:p w:rsidR="00000000" w:rsidRDefault="00A34480">
      <w:pPr>
        <w:ind w:firstLine="709"/>
        <w:jc w:val="both"/>
        <w:rPr>
          <w:color w:val="333399"/>
          <w:szCs w:val="28"/>
        </w:rPr>
      </w:pPr>
    </w:p>
    <w:p w:rsidR="00000000" w:rsidRDefault="00A34480">
      <w:pPr>
        <w:jc w:val="center"/>
        <w:rPr>
          <w:b/>
          <w:szCs w:val="28"/>
        </w:rPr>
      </w:pPr>
      <w:r>
        <w:rPr>
          <w:b/>
          <w:szCs w:val="28"/>
        </w:rPr>
        <w:t>Раздел 0100 «Общегосударственные вопросы»</w:t>
      </w:r>
    </w:p>
    <w:p w:rsidR="00000000" w:rsidRDefault="00A34480">
      <w:pPr>
        <w:pStyle w:val="211"/>
        <w:ind w:left="0" w:firstLine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Подраздел  0102, 0104</w:t>
      </w:r>
    </w:p>
    <w:p w:rsidR="00000000" w:rsidRDefault="00A34480">
      <w:pPr>
        <w:pStyle w:val="211"/>
        <w:ind w:left="0" w:right="680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подразделам планируются расходы на содержание главы администрации,  а</w:t>
      </w:r>
      <w:r>
        <w:rPr>
          <w:color w:val="000000"/>
          <w:sz w:val="28"/>
          <w:szCs w:val="28"/>
        </w:rPr>
        <w:t>дминистрации  муниципального образования.</w:t>
      </w:r>
    </w:p>
    <w:p w:rsidR="00000000" w:rsidRDefault="00A34480">
      <w:pPr>
        <w:pStyle w:val="211"/>
        <w:ind w:left="0" w:right="68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планировании данных расходов в основу положены  уточненные бюджетные ассигнования на 2020 год по состоянию на 01.10.2020 г.</w:t>
      </w:r>
    </w:p>
    <w:p w:rsidR="00000000" w:rsidRDefault="00A34480">
      <w:pPr>
        <w:pStyle w:val="211"/>
        <w:ind w:left="0" w:right="68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начислениям на заработную плату расходы  запланированы 30,2 %.</w:t>
      </w:r>
    </w:p>
    <w:p w:rsidR="00000000" w:rsidRDefault="00A34480">
      <w:pPr>
        <w:pStyle w:val="211"/>
        <w:ind w:left="0" w:right="68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по оплате ко</w:t>
      </w:r>
      <w:r>
        <w:rPr>
          <w:color w:val="000000"/>
          <w:sz w:val="28"/>
          <w:szCs w:val="28"/>
        </w:rPr>
        <w:t>ммунальных услуг планируются исходя из бюджета 2020 года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00000" w:rsidRDefault="00A34480">
      <w:pPr>
        <w:pStyle w:val="211"/>
        <w:ind w:left="0" w:right="68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оплату услуг связи, стоимости материальных запасов планируются на уровне ожидаемых расходов за 2020 год.</w:t>
      </w:r>
    </w:p>
    <w:p w:rsidR="00000000" w:rsidRDefault="00A34480">
      <w:pPr>
        <w:pStyle w:val="21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 прочим материальным затратам расходы предусмотрены </w:t>
      </w:r>
      <w:r>
        <w:rPr>
          <w:sz w:val="28"/>
          <w:szCs w:val="28"/>
        </w:rPr>
        <w:t xml:space="preserve"> ниже </w:t>
      </w:r>
      <w:r>
        <w:rPr>
          <w:color w:val="000000"/>
          <w:sz w:val="28"/>
          <w:szCs w:val="28"/>
        </w:rPr>
        <w:t>утвержденного бюджет</w:t>
      </w:r>
      <w:r>
        <w:rPr>
          <w:color w:val="000000"/>
          <w:sz w:val="28"/>
          <w:szCs w:val="28"/>
        </w:rPr>
        <w:t>а 2020 года.</w:t>
      </w:r>
    </w:p>
    <w:p w:rsidR="00000000" w:rsidRDefault="00A34480">
      <w:pPr>
        <w:ind w:firstLine="855"/>
        <w:jc w:val="both"/>
        <w:rPr>
          <w:color w:val="0000FF"/>
          <w:szCs w:val="28"/>
        </w:rPr>
      </w:pPr>
    </w:p>
    <w:p w:rsidR="00000000" w:rsidRDefault="00A34480">
      <w:pPr>
        <w:pStyle w:val="ab"/>
        <w:ind w:firstLine="709"/>
        <w:rPr>
          <w:iCs/>
        </w:rPr>
      </w:pPr>
    </w:p>
    <w:p w:rsidR="00000000" w:rsidRDefault="00A34480">
      <w:pPr>
        <w:ind w:firstLine="855"/>
        <w:jc w:val="both"/>
        <w:rPr>
          <w:szCs w:val="28"/>
        </w:rPr>
      </w:pPr>
    </w:p>
    <w:p w:rsidR="00000000" w:rsidRDefault="00A34480">
      <w:pPr>
        <w:autoSpaceDE w:val="0"/>
        <w:ind w:firstLine="540"/>
        <w:jc w:val="both"/>
        <w:rPr>
          <w:b/>
          <w:i/>
          <w:szCs w:val="28"/>
        </w:rPr>
      </w:pPr>
    </w:p>
    <w:p w:rsidR="00000000" w:rsidRDefault="00A34480">
      <w:pPr>
        <w:shd w:val="clear" w:color="auto" w:fill="FFFFFF"/>
        <w:ind w:firstLine="720"/>
        <w:jc w:val="both"/>
        <w:rPr>
          <w:b/>
          <w:i/>
          <w:szCs w:val="28"/>
        </w:rPr>
      </w:pPr>
      <w:r>
        <w:rPr>
          <w:b/>
          <w:i/>
          <w:szCs w:val="28"/>
        </w:rPr>
        <w:t>По подразделу 0113 «Другие общегосударственные вопросы»</w:t>
      </w:r>
    </w:p>
    <w:p w:rsidR="00000000" w:rsidRDefault="00A34480">
      <w:pPr>
        <w:autoSpaceDE w:val="0"/>
        <w:ind w:firstLine="855"/>
        <w:jc w:val="both"/>
        <w:rPr>
          <w:color w:val="0000FF"/>
          <w:szCs w:val="28"/>
        </w:rPr>
      </w:pPr>
      <w:r>
        <w:rPr>
          <w:color w:val="0000FF"/>
          <w:szCs w:val="28"/>
        </w:rPr>
        <w:t xml:space="preserve">По данному подразделу планируются расходы на проведение мероприятий </w:t>
      </w:r>
      <w:proofErr w:type="gramStart"/>
      <w:r>
        <w:rPr>
          <w:color w:val="0000FF"/>
          <w:szCs w:val="28"/>
        </w:rPr>
        <w:t>к</w:t>
      </w:r>
      <w:proofErr w:type="gramEnd"/>
      <w:r>
        <w:rPr>
          <w:color w:val="0000FF"/>
          <w:szCs w:val="28"/>
        </w:rPr>
        <w:t xml:space="preserve"> дню победы, членские взносы в Ассоциацию «Совет муниципальных образований  Курской области.</w:t>
      </w:r>
    </w:p>
    <w:p w:rsidR="00000000" w:rsidRDefault="00A34480">
      <w:pPr>
        <w:ind w:firstLine="855"/>
        <w:jc w:val="both"/>
        <w:rPr>
          <w:b/>
          <w:i/>
          <w:color w:val="0000FF"/>
          <w:szCs w:val="28"/>
        </w:rPr>
      </w:pPr>
    </w:p>
    <w:p w:rsidR="00000000" w:rsidRDefault="00A34480">
      <w:pPr>
        <w:shd w:val="clear" w:color="auto" w:fill="FFFFFF"/>
        <w:ind w:firstLine="720"/>
        <w:jc w:val="both"/>
        <w:rPr>
          <w:szCs w:val="28"/>
        </w:rPr>
      </w:pPr>
    </w:p>
    <w:p w:rsidR="00000000" w:rsidRDefault="00A34480">
      <w:pPr>
        <w:jc w:val="center"/>
        <w:rPr>
          <w:b/>
          <w:szCs w:val="28"/>
        </w:rPr>
      </w:pPr>
      <w:r>
        <w:rPr>
          <w:b/>
          <w:szCs w:val="28"/>
        </w:rPr>
        <w:t>Раздел 0200 «Национ</w:t>
      </w:r>
      <w:r>
        <w:rPr>
          <w:b/>
          <w:szCs w:val="28"/>
        </w:rPr>
        <w:t>альная оборона»</w:t>
      </w:r>
    </w:p>
    <w:p w:rsidR="00000000" w:rsidRDefault="00A34480">
      <w:pPr>
        <w:pStyle w:val="22"/>
        <w:ind w:firstLine="709"/>
        <w:jc w:val="both"/>
        <w:rPr>
          <w:rFonts w:ascii="Times New Roman" w:hAnsi="Times New Roman" w:cs="Times New Roman"/>
          <w:b/>
          <w:i/>
          <w:szCs w:val="28"/>
        </w:rPr>
      </w:pPr>
    </w:p>
    <w:p w:rsidR="00000000" w:rsidRDefault="00A34480">
      <w:pPr>
        <w:shd w:val="clear" w:color="auto" w:fill="FFFFFF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Подраздел 0203 «Мобилизационная и вневойсковая подготовка»</w:t>
      </w:r>
    </w:p>
    <w:p w:rsidR="00000000" w:rsidRDefault="00A34480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</w:t>
      </w:r>
      <w:r>
        <w:rPr>
          <w:szCs w:val="28"/>
        </w:rPr>
        <w:t xml:space="preserve">аты, за счет средств федерального бюджета местному </w:t>
      </w:r>
    </w:p>
    <w:p w:rsidR="00000000" w:rsidRDefault="00A34480">
      <w:pPr>
        <w:rPr>
          <w:color w:val="000000"/>
          <w:szCs w:val="28"/>
        </w:rPr>
      </w:pPr>
    </w:p>
    <w:p w:rsidR="00000000" w:rsidRDefault="00A34480">
      <w:pPr>
        <w:ind w:firstLine="741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Подраздел 0503 «Благоустройство»</w:t>
      </w:r>
    </w:p>
    <w:p w:rsidR="00000000" w:rsidRDefault="00A34480">
      <w:pPr>
        <w:autoSpaceDE w:val="0"/>
        <w:ind w:firstLine="912"/>
        <w:jc w:val="both"/>
        <w:rPr>
          <w:szCs w:val="28"/>
        </w:rPr>
      </w:pPr>
      <w:r>
        <w:rPr>
          <w:szCs w:val="28"/>
        </w:rPr>
        <w:t>По данному подразделу планируются расходы сельских поселений на внешнее благоустройство территории муниципальных образований, включая расходы на уличное освещение, содерж</w:t>
      </w:r>
      <w:r>
        <w:rPr>
          <w:szCs w:val="28"/>
        </w:rPr>
        <w:t>ание автомобильных дорог и инженерных сооружений на них, озеленение, организацию и содержание мест захоронения, прочие мероприятия по благоустройству.</w:t>
      </w:r>
    </w:p>
    <w:p w:rsidR="00000000" w:rsidRDefault="00A34480">
      <w:pPr>
        <w:ind w:firstLine="684"/>
        <w:jc w:val="both"/>
        <w:rPr>
          <w:szCs w:val="28"/>
        </w:rPr>
      </w:pPr>
      <w:r>
        <w:rPr>
          <w:szCs w:val="28"/>
        </w:rPr>
        <w:t>Объем расходов бюджетов сельских поселений на внешнее благоустройство на 2021 год планируется ниже  плано</w:t>
      </w:r>
      <w:r>
        <w:rPr>
          <w:szCs w:val="28"/>
        </w:rPr>
        <w:t>вых расходов  бюджета на 01.10.2020</w:t>
      </w:r>
    </w:p>
    <w:p w:rsidR="00000000" w:rsidRDefault="00A34480">
      <w:pPr>
        <w:ind w:firstLine="684"/>
        <w:jc w:val="both"/>
        <w:rPr>
          <w:color w:val="000000"/>
          <w:szCs w:val="28"/>
        </w:rPr>
      </w:pPr>
    </w:p>
    <w:p w:rsidR="00000000" w:rsidRDefault="00A34480">
      <w:pPr>
        <w:shd w:val="clear" w:color="auto" w:fill="FFFFFF"/>
        <w:ind w:firstLine="709"/>
        <w:jc w:val="both"/>
        <w:rPr>
          <w:bCs/>
          <w:color w:val="333399"/>
          <w:szCs w:val="28"/>
        </w:rPr>
      </w:pPr>
    </w:p>
    <w:p w:rsidR="00000000" w:rsidRDefault="00A34480">
      <w:pPr>
        <w:shd w:val="clear" w:color="auto" w:fill="FFFFFF"/>
        <w:jc w:val="both"/>
        <w:rPr>
          <w:bCs/>
          <w:color w:val="333399"/>
          <w:szCs w:val="28"/>
        </w:rPr>
      </w:pPr>
    </w:p>
    <w:p w:rsidR="00000000" w:rsidRDefault="00A34480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Раздел 0800 «Культура и кинематография»</w:t>
      </w:r>
    </w:p>
    <w:p w:rsidR="00000000" w:rsidRDefault="00A34480">
      <w:pPr>
        <w:pStyle w:val="ConsNormal"/>
        <w:widowControl/>
        <w:ind w:firstLine="9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Default="00A34480">
      <w:pPr>
        <w:pStyle w:val="ConsNormal"/>
        <w:widowControl/>
        <w:ind w:firstLine="6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Подраздел 0801 «Культура»</w:t>
      </w:r>
    </w:p>
    <w:p w:rsidR="00000000" w:rsidRDefault="00A34480">
      <w:pPr>
        <w:pStyle w:val="ab"/>
        <w:ind w:firstLine="684"/>
      </w:pPr>
      <w:r>
        <w:t>Расходы на создание условий для организации досуга и обеспечение жителей услугами организаций культуры,  услугами по организации досуга и услугами орг</w:t>
      </w:r>
      <w:r>
        <w:t xml:space="preserve">анизаций культуры, </w:t>
      </w:r>
    </w:p>
    <w:p w:rsidR="00000000" w:rsidRDefault="00A34480">
      <w:pPr>
        <w:autoSpaceDE w:val="0"/>
        <w:ind w:firstLine="684"/>
        <w:jc w:val="both"/>
        <w:rPr>
          <w:szCs w:val="28"/>
        </w:rPr>
      </w:pPr>
      <w:r>
        <w:rPr>
          <w:szCs w:val="28"/>
        </w:rPr>
        <w:t xml:space="preserve">уровень средней заработной платы работникам учреждений культуры к уровню средней заработной платы в Курской области в 2021 г-82.4 % или-29717,8 </w:t>
      </w:r>
      <w:proofErr w:type="spellStart"/>
      <w:r>
        <w:rPr>
          <w:szCs w:val="28"/>
        </w:rPr>
        <w:t>руб</w:t>
      </w:r>
      <w:proofErr w:type="spellEnd"/>
      <w:proofErr w:type="gramStart"/>
      <w:r>
        <w:rPr>
          <w:szCs w:val="28"/>
        </w:rPr>
        <w:t xml:space="preserve"> ;</w:t>
      </w:r>
      <w:proofErr w:type="gramEnd"/>
      <w:r>
        <w:rPr>
          <w:szCs w:val="28"/>
        </w:rPr>
        <w:t xml:space="preserve"> на 2022 г-31576,0 руб.; на 2023 г-33441,1 руб. </w:t>
      </w:r>
    </w:p>
    <w:p w:rsidR="00000000" w:rsidRDefault="00A34480">
      <w:pPr>
        <w:autoSpaceDE w:val="0"/>
        <w:ind w:firstLine="684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по коммунальным услугам предусмотрена</w:t>
      </w:r>
      <w:r>
        <w:rPr>
          <w:szCs w:val="28"/>
        </w:rPr>
        <w:t xml:space="preserve"> ежегодная оптимизация расходов на 2021 г на 3,0 %;</w:t>
      </w:r>
    </w:p>
    <w:p w:rsidR="00000000" w:rsidRDefault="00A34480">
      <w:pPr>
        <w:autoSpaceDE w:val="0"/>
        <w:ind w:firstLine="684"/>
        <w:jc w:val="both"/>
        <w:rPr>
          <w:szCs w:val="28"/>
        </w:rPr>
      </w:pPr>
      <w:r>
        <w:rPr>
          <w:szCs w:val="28"/>
        </w:rPr>
        <w:t>по остальным расходам ниже уровня утвержденного бюджета на 01.10.2020г</w:t>
      </w:r>
    </w:p>
    <w:p w:rsidR="00000000" w:rsidRDefault="00A34480">
      <w:pPr>
        <w:pStyle w:val="ab"/>
        <w:ind w:firstLine="0"/>
      </w:pPr>
      <w:r>
        <w:t xml:space="preserve">                       </w:t>
      </w:r>
    </w:p>
    <w:sectPr w:rsidR="00000000">
      <w:pgSz w:w="11905" w:h="16837"/>
      <w:pgMar w:top="28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480"/>
    <w:rsid w:val="00A3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2">
    <w:name w:val="Основной шрифт абзаца2"/>
  </w:style>
  <w:style w:type="character" w:customStyle="1" w:styleId="WW-WW8Num1ztrue711">
    <w:name w:val="WW-WW8Num1ztrue711"/>
  </w:style>
  <w:style w:type="character" w:customStyle="1" w:styleId="WW-WW8Num1ztrue11111">
    <w:name w:val="WW-WW8Num1ztrue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1">
    <w:name w:val="WW-WW8Num1ztrue1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1">
    <w:name w:val="WW-WW8Num1ztrue1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1">
    <w:name w:val="WW-WW8Num1ztrue1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10">
    <w:name w:val="Основной шрифт абзаца1"/>
  </w:style>
  <w:style w:type="character" w:customStyle="1" w:styleId="a3">
    <w:name w:val="Название Знак"/>
    <w:basedOn w:val="3"/>
    <w:rPr>
      <w:b/>
      <w:bCs/>
      <w:sz w:val="28"/>
      <w:szCs w:val="28"/>
      <w:lang w:val="ru-RU" w:eastAsia="ar-SA" w:bidi="ar-SA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Pr>
      <w:b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Pr>
      <w:sz w:val="24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врезки"/>
    <w:basedOn w:val="a6"/>
  </w:style>
  <w:style w:type="paragraph" w:customStyle="1" w:styleId="31">
    <w:name w:val="Основной текст 31"/>
    <w:basedOn w:val="a"/>
    <w:pPr>
      <w:jc w:val="both"/>
    </w:pPr>
    <w:rPr>
      <w:szCs w:val="28"/>
    </w:rPr>
  </w:style>
  <w:style w:type="paragraph" w:styleId="ab">
    <w:name w:val="Body Text Indent"/>
    <w:basedOn w:val="a"/>
    <w:pPr>
      <w:ind w:firstLine="720"/>
      <w:jc w:val="both"/>
    </w:pPr>
    <w:rPr>
      <w:szCs w:val="28"/>
    </w:rPr>
  </w:style>
  <w:style w:type="paragraph" w:customStyle="1" w:styleId="22">
    <w:name w:val="Текст2"/>
    <w:basedOn w:val="a"/>
    <w:rPr>
      <w:rFonts w:ascii="Courier New" w:hAnsi="Courier New" w:cs="Courier New"/>
    </w:rPr>
  </w:style>
  <w:style w:type="paragraph" w:customStyle="1" w:styleId="15">
    <w:name w:val="Текст1"/>
    <w:basedOn w:val="a"/>
    <w:rPr>
      <w:rFonts w:ascii="Courier New" w:hAnsi="Courier New" w:cs="Courier New"/>
    </w:rPr>
  </w:style>
  <w:style w:type="paragraph" w:customStyle="1" w:styleId="211">
    <w:name w:val="Красная строка 21"/>
    <w:basedOn w:val="ab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styleId="ad">
    <w:name w:val="Title"/>
    <w:basedOn w:val="a"/>
    <w:next w:val="ae"/>
    <w:qFormat/>
    <w:pPr>
      <w:suppressAutoHyphens w:val="0"/>
      <w:ind w:firstLine="851"/>
      <w:jc w:val="center"/>
    </w:pPr>
    <w:rPr>
      <w:b/>
      <w:bCs/>
      <w:szCs w:val="28"/>
    </w:rPr>
  </w:style>
  <w:style w:type="paragraph" w:styleId="ae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consplusnonformat">
    <w:name w:val="consplusnonformat"/>
    <w:basedOn w:val="a"/>
    <w:pPr>
      <w:suppressAutoHyphens w:val="0"/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2428</Words>
  <Characters>13842</Characters>
  <Application>Microsoft Office Word</Application>
  <DocSecurity>0</DocSecurity>
  <Lines>115</Lines>
  <Paragraphs>32</Paragraphs>
  <ScaleCrop>false</ScaleCrop>
  <Company/>
  <LinksUpToDate>false</LinksUpToDate>
  <CharactersWithSpaces>16238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А. Панин</dc:creator>
  <cp:keywords/>
  <cp:lastModifiedBy>Windows User</cp:lastModifiedBy>
  <cp:revision>2</cp:revision>
  <cp:lastPrinted>2020-10-21T13:28:00Z</cp:lastPrinted>
  <dcterms:created xsi:type="dcterms:W3CDTF">2020-10-28T10:49:00Z</dcterms:created>
  <dcterms:modified xsi:type="dcterms:W3CDTF">2020-10-28T10:49:00Z</dcterms:modified>
</cp:coreProperties>
</file>