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01" w:rsidRDefault="00CD2101" w:rsidP="00CD2101">
      <w:pPr>
        <w:rPr>
          <w:sz w:val="28"/>
          <w:szCs w:val="28"/>
        </w:rPr>
      </w:pPr>
    </w:p>
    <w:p w:rsidR="007C10F7" w:rsidRPr="00C34C10" w:rsidRDefault="007C10F7" w:rsidP="007C10F7">
      <w:pPr>
        <w:shd w:val="clear" w:color="auto" w:fill="FFFFFF"/>
        <w:tabs>
          <w:tab w:val="left" w:pos="2385"/>
        </w:tabs>
        <w:jc w:val="center"/>
        <w:rPr>
          <w:b/>
        </w:rPr>
      </w:pPr>
      <w:r w:rsidRPr="00C34C10">
        <w:rPr>
          <w:b/>
          <w:i/>
          <w:noProof/>
          <w:lang w:eastAsia="ru-RU"/>
        </w:rPr>
        <w:drawing>
          <wp:inline distT="0" distB="0" distL="0" distR="0">
            <wp:extent cx="1256030" cy="12084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08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C10">
        <w:rPr>
          <w:b/>
        </w:rPr>
        <w:cr/>
      </w:r>
    </w:p>
    <w:p w:rsidR="007C10F7" w:rsidRPr="00C34C10" w:rsidRDefault="007C10F7" w:rsidP="007C10F7">
      <w:pPr>
        <w:pStyle w:val="a6"/>
        <w:tabs>
          <w:tab w:val="clear" w:pos="4677"/>
          <w:tab w:val="clear" w:pos="9355"/>
        </w:tabs>
        <w:jc w:val="center"/>
        <w:rPr>
          <w:b/>
        </w:rPr>
      </w:pPr>
      <w:r w:rsidRPr="00C34C10">
        <w:rPr>
          <w:b/>
        </w:rPr>
        <w:t xml:space="preserve"> АДМИНИСТРАЦИЯ   ЗУЕВСКОГО  СЕЛЬСОВЕТА</w:t>
      </w:r>
    </w:p>
    <w:p w:rsidR="007C10F7" w:rsidRPr="00C34C10" w:rsidRDefault="007C10F7" w:rsidP="007C10F7">
      <w:pPr>
        <w:pStyle w:val="a6"/>
        <w:tabs>
          <w:tab w:val="clear" w:pos="4677"/>
          <w:tab w:val="clear" w:pos="9355"/>
        </w:tabs>
        <w:jc w:val="center"/>
        <w:rPr>
          <w:b/>
        </w:rPr>
      </w:pPr>
      <w:r w:rsidRPr="00C34C10">
        <w:rPr>
          <w:b/>
        </w:rPr>
        <w:t>СОЛНЦЕВСКОГО РАЙОНА    КУРСКОЙ ОБЛАСТИ</w:t>
      </w:r>
    </w:p>
    <w:p w:rsidR="007C10F7" w:rsidRPr="00C34C10" w:rsidRDefault="007C10F7" w:rsidP="007C10F7">
      <w:pPr>
        <w:pStyle w:val="a6"/>
        <w:tabs>
          <w:tab w:val="clear" w:pos="4677"/>
          <w:tab w:val="clear" w:pos="9355"/>
        </w:tabs>
        <w:jc w:val="center"/>
        <w:rPr>
          <w:b/>
        </w:rPr>
      </w:pPr>
    </w:p>
    <w:p w:rsidR="007C10F7" w:rsidRPr="00C34C10" w:rsidRDefault="007C10F7" w:rsidP="007C10F7">
      <w:pPr>
        <w:pStyle w:val="a6"/>
        <w:tabs>
          <w:tab w:val="clear" w:pos="4677"/>
          <w:tab w:val="clear" w:pos="9355"/>
        </w:tabs>
        <w:jc w:val="center"/>
        <w:rPr>
          <w:color w:val="000000"/>
          <w:spacing w:val="-3"/>
        </w:rPr>
      </w:pPr>
      <w:r w:rsidRPr="00C34C10">
        <w:rPr>
          <w:b/>
        </w:rPr>
        <w:t>ПОСТАНОВЛЕНИЕ</w:t>
      </w:r>
    </w:p>
    <w:p w:rsidR="007C10F7" w:rsidRPr="00C34C10" w:rsidRDefault="007C10F7" w:rsidP="007C10F7">
      <w:pPr>
        <w:shd w:val="clear" w:color="auto" w:fill="FFFFFF"/>
        <w:tabs>
          <w:tab w:val="left" w:pos="2385"/>
        </w:tabs>
        <w:jc w:val="center"/>
        <w:rPr>
          <w:color w:val="000000"/>
          <w:spacing w:val="-3"/>
        </w:rPr>
      </w:pPr>
      <w:r w:rsidRPr="00C34C10">
        <w:rPr>
          <w:color w:val="000000"/>
          <w:spacing w:val="-3"/>
        </w:rPr>
        <w:t>от 07.09.2020 г</w:t>
      </w:r>
      <w:r w:rsidRPr="00C34C10">
        <w:rPr>
          <w:color w:val="000000"/>
          <w:spacing w:val="-3"/>
          <w:sz w:val="32"/>
          <w:szCs w:val="32"/>
        </w:rPr>
        <w:t xml:space="preserve"> </w:t>
      </w:r>
      <w:r w:rsidRPr="00C34C10">
        <w:rPr>
          <w:b/>
          <w:bCs/>
          <w:color w:val="000000"/>
          <w:spacing w:val="-3"/>
          <w:sz w:val="32"/>
          <w:szCs w:val="32"/>
        </w:rPr>
        <w:t xml:space="preserve">                                                    </w:t>
      </w:r>
      <w:r w:rsidRPr="00C34C10">
        <w:rPr>
          <w:color w:val="000000"/>
          <w:spacing w:val="-3"/>
          <w:sz w:val="32"/>
          <w:szCs w:val="32"/>
        </w:rPr>
        <w:t xml:space="preserve"> </w:t>
      </w:r>
      <w:r w:rsidRPr="00C34C10">
        <w:rPr>
          <w:color w:val="000000"/>
          <w:spacing w:val="-3"/>
        </w:rPr>
        <w:t>№77</w:t>
      </w:r>
      <w:r w:rsidR="009C549D">
        <w:rPr>
          <w:color w:val="000000"/>
          <w:spacing w:val="-3"/>
        </w:rPr>
        <w:t>п</w:t>
      </w:r>
    </w:p>
    <w:p w:rsidR="0047645D" w:rsidRPr="00C34C10" w:rsidRDefault="0047645D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Об утверждении Порядка исполнения 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бюджета по расходам и источникам финансирования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дефицита бюджета муниципального образования 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</w:t>
      </w:r>
      <w:r w:rsidR="009C549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Зуевский</w:t>
      </w:r>
      <w:r w:rsidR="00B60B5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</w:t>
      </w: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» Солнцевского района 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Курской области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со статьями 219, 219.2 Бюджетного кодекса Российской Федерации приказываю: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1. Утвердить Порядок исполнения бюджета  по расходам и источникам финансирования дефицита бюджета муниципального образования «</w:t>
      </w:r>
      <w:r w:rsidR="009C54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Зуевский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Солнцевского района Курской области согласно приложению.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  Контроль за исполнением настоящего приказа возложить на главного специалиста-эксперта Администрации  </w:t>
      </w:r>
      <w:r w:rsidR="009C54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Зуевского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Солнцевского района Курской области </w:t>
      </w:r>
      <w:r w:rsidR="00B60B5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Четверикову Е.Н.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  Постановление  вступает в силу со дня подписания и распространяется на правоотношения, возникшие с 1 января 2020 года.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r w:rsidR="009C54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Зуевского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Солнцевского района                                                                  </w:t>
      </w:r>
      <w:r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А.И.Панин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D77E1" w:rsidRPr="00C34C10" w:rsidRDefault="008D77E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77E1" w:rsidRPr="00C34C10" w:rsidRDefault="008D77E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77E1" w:rsidRPr="00C34C10" w:rsidRDefault="008D77E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77E1" w:rsidRPr="00C34C10" w:rsidRDefault="008D77E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22C1" w:rsidRPr="00C34C10" w:rsidRDefault="000722C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4C10">
        <w:rPr>
          <w:rFonts w:ascii="Times New Roman" w:hAnsi="Times New Roman" w:cs="Times New Roman"/>
          <w:sz w:val="24"/>
          <w:szCs w:val="24"/>
        </w:rPr>
        <w:t>Приложение</w:t>
      </w:r>
    </w:p>
    <w:p w:rsidR="000722C1" w:rsidRPr="00C34C10" w:rsidRDefault="000722C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4C10">
        <w:rPr>
          <w:rFonts w:ascii="Times New Roman" w:hAnsi="Times New Roman" w:cs="Times New Roman"/>
          <w:sz w:val="24"/>
          <w:szCs w:val="24"/>
        </w:rPr>
        <w:t xml:space="preserve">к </w:t>
      </w:r>
      <w:r w:rsidR="00720D9F" w:rsidRPr="00C34C1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720D9F" w:rsidRPr="00C34C10" w:rsidRDefault="000722C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4C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C10F7" w:rsidRPr="00C34C10">
        <w:rPr>
          <w:rFonts w:ascii="Times New Roman" w:hAnsi="Times New Roman" w:cs="Times New Roman"/>
          <w:sz w:val="24"/>
          <w:szCs w:val="24"/>
        </w:rPr>
        <w:t>Зуевского сельсовета</w:t>
      </w:r>
    </w:p>
    <w:p w:rsidR="000722C1" w:rsidRPr="00C34C10" w:rsidRDefault="000722C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4C10">
        <w:rPr>
          <w:rFonts w:ascii="Times New Roman" w:hAnsi="Times New Roman" w:cs="Times New Roman"/>
          <w:sz w:val="24"/>
          <w:szCs w:val="24"/>
        </w:rPr>
        <w:t xml:space="preserve">Солнцевского района </w:t>
      </w:r>
    </w:p>
    <w:p w:rsidR="000722C1" w:rsidRPr="00C34C10" w:rsidRDefault="000722C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4C10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722C1" w:rsidRPr="00C34C10" w:rsidRDefault="000F3C6D" w:rsidP="00720D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4C10">
        <w:rPr>
          <w:rFonts w:ascii="Times New Roman" w:hAnsi="Times New Roman" w:cs="Times New Roman"/>
          <w:sz w:val="24"/>
          <w:szCs w:val="24"/>
        </w:rPr>
        <w:t xml:space="preserve">    от </w:t>
      </w:r>
      <w:r w:rsidR="007C10F7" w:rsidRPr="00C34C10">
        <w:rPr>
          <w:rFonts w:ascii="Times New Roman" w:hAnsi="Times New Roman" w:cs="Times New Roman"/>
          <w:sz w:val="24"/>
          <w:szCs w:val="24"/>
        </w:rPr>
        <w:t>07.09.2020</w:t>
      </w:r>
      <w:r w:rsidR="00720D9F" w:rsidRPr="00C34C10">
        <w:rPr>
          <w:rFonts w:ascii="Times New Roman" w:hAnsi="Times New Roman" w:cs="Times New Roman"/>
          <w:sz w:val="24"/>
          <w:szCs w:val="24"/>
        </w:rPr>
        <w:t xml:space="preserve"> г. №</w:t>
      </w:r>
      <w:r w:rsidR="007C10F7" w:rsidRPr="00C34C10">
        <w:rPr>
          <w:rFonts w:ascii="Times New Roman" w:hAnsi="Times New Roman" w:cs="Times New Roman"/>
          <w:sz w:val="24"/>
          <w:szCs w:val="24"/>
        </w:rPr>
        <w:t>77</w:t>
      </w:r>
      <w:r w:rsidR="00B60B5C">
        <w:rPr>
          <w:rFonts w:ascii="Times New Roman" w:hAnsi="Times New Roman" w:cs="Times New Roman"/>
          <w:sz w:val="24"/>
          <w:szCs w:val="24"/>
        </w:rPr>
        <w:t>п</w:t>
      </w:r>
    </w:p>
    <w:p w:rsidR="00720D9F" w:rsidRPr="00C34C10" w:rsidRDefault="00720D9F" w:rsidP="00720D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B7539" w:rsidRDefault="004B7539" w:rsidP="004B75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9F4" w:rsidRPr="004449F4" w:rsidRDefault="004449F4" w:rsidP="00B60B5C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ПОРЯДОК</w:t>
      </w:r>
    </w:p>
    <w:p w:rsidR="004449F4" w:rsidRPr="004449F4" w:rsidRDefault="004449F4" w:rsidP="00B60B5C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исполнения бюджета  по расходам и источникам финансирования дефицита бюджета муниципального образования «</w:t>
      </w:r>
      <w:r w:rsidR="009C549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Зуевский</w:t>
      </w: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 Солнцевского  района  Курской области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 Общие положения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  1.1.  Порядок исполнения бюджета по расходам и по источникам финансирования дефицита бюджета муниципального образования «</w:t>
      </w:r>
      <w:r w:rsidR="009C54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Зуевский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Солнцевского  района Курской области (далее – Порядок) устанавливает правила исполнения бюджета по расходам и по источникам финансирования дефицита бюджета муниципального образования «</w:t>
      </w:r>
      <w:r w:rsidR="009C54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Зуевский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Солнцевского  района Курской области (далее –местного бюджета) главными распорядителями средств местного бюджета, получателями средств местного бюджета и администраторами источников финансирования дефицита местного бюджета (далее – участники бюджетного процесса).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 1.2.  Организация исполнения местного бюджета осуществляется Администрацией </w:t>
      </w:r>
      <w:r w:rsidR="009C54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Зуевского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Солнцевского района Курской области. Исполнение местного бюджета организуется на основе сводной бюджетной росписи местного бюджета и кассового плана. Местный бюджет исполняется на основе единства кассы и подведомственности расходов.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1.3. Кассовое обслуживание исполнения местного бюджета по расходам и источникам финансирования дефицита местного бюджета осуществляется Управлением Федерального казначейства по Курской области с открытием и ведением лицевых счетов по учету операций со средствами бюджета муниципального образования «</w:t>
      </w:r>
      <w:r w:rsidR="009C54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Зуевский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Солнцевского  района Курской области,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9C54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Зуевского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 Солнцевского района Курской области и Управлением Федерального казначейства по Курской области об осуществлении Управлением Федерального казначейства по Курской области по исполнению бюджета муниципального образования «</w:t>
      </w:r>
      <w:r w:rsidR="009C54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Зуевский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Солнцевского  района Курской области при кассовом обслуживании исполнения местного бюджета.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1.4. Учет операций со средствами местного бюджета осуществляется органом Федерального казначейства на едином счете бюджета, открытом в Управлении Федерального казначейства по Курской области в Отделении по Солнцевскому району Управления Федерального казначейства по Курской области (далее - Отделении по Солнцевскому району УФК по Курской области).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 1.5. Лицевые счета в Отделении по Солнцевскому району УФК по Курской области открываются участникам бюджетного процесса муниципального образования «</w:t>
      </w:r>
      <w:r w:rsidR="009C54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Зуевский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Солнцевского  района Курской области.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  1.6. Информационный обмен между Отделением по Солнцевскому району УФК по Курской области, главными распорядителями, получателями, администратором источников финансирования дефицита бюджета при исполнении местного бюджета по расходам и источникам финансирования дефицита местного бюджета осуществляется в электронном виде с использованием программного комплекса СУФД (далее - ПК "СУФД") и электронной цифровой подписи (далее – ЭЦП).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1.7. Местный бюджет по расходам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1.8.  Участники бюджетного процесса обеспечивают соблюдение целевого характера использования бюджетных средств.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  Исполнение местного бюджета по расходам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        2.1. Исполнение местного бюджета по расходам предусматривает: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 принятие и учет бюджетных и денежных обязательств, подлежащих исполнению за счет средств бюджета;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 подтверждение денежных обязательств;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 - санкционирование оплаты денежных обязательств;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 подтверждение исполнения денежных обязательств.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2.2. Исполнение местного бюджета по расходам (за исключением денежных обязательств по публичным нормативным обязательствам) осуществляется главными распорядителями на основе бюджетным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 2.3. Получатель бюджетных средств принимает бюджетные обязательства в пределах, доведенных до него лимитов бюджетных обязательств.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2.1. Принятие и учет бюджетных и денежных обязательств подлежащих исполнению за счет средств бюджета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2.1.1. Получатель бюджетных средств местного бюджета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 в пределах доведенных до него лимитов бюджетных обязательств по кодам классификации расходов местного бюджета с учетом принятых и неисполненных обязательств.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2.1.2. Ответственность за соответствие суммы обязательств по приобретаемым товарам, работам, услугам, доведенным лимитам бюджетных обязательств несет получатель средств местного бюджета - руководитель учреждения.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2.1.3. При постановке на учет бюджетных и денежных обязательств, санкционировании оплаты денежных обязательств, подлежащих исполнению за счет средств местного бюджета, Отделом по Солнцевскому району УФК по Курской области осуществляется контроль за: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не 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соответствием информации, указанной в платежном документе для оплаты денежного обязательства, информации о денежном обязательстве;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наличие документов, подтверждающих возникновение денежного обязательства;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также может определяться иная информация, подлежащая контролю.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2.2. Подтверждение денежных обязательств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2.2.1. Подтверждение денежных обязательств заключается в подтверждении получателем средств местного бюджета обязанности оплатить за счет местного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2.2.2. Оплата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бюджетных средств лимитов бюджетных обязательств.  Оплата денежных обязательств по публичным нормативным обязательствам может осуществляться в пределах, доведенных до получателя бюджетных средств бюджетных ассигнований.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2.2.3. Муниципальные контракты (договора) и (или) иные документы, подписанные сторонами муниципального контракта (договора) и (или) иные документы (далее  – документ-основание), подтверждающие возникновение денежного обязательства, представляются получателем средств местного бюджета главному распорядителю бюджетных средств. Главный распорядитель бюджетных средств, на основании представленных документов - основания, составляет заявку на финансирование, подписанную главным распорядителем бюджетных средств,  в финансовое управление на бумажном носителе. К заявке на финансирование (далее-заявка) представляются муниципальные контракты (договоры), иные документы, подписанные сторонами муниципального контракта (договора) и (или) иные документы, подтверждающие возникновение денежного обязательства,  подлинник на бумажном носителе.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2.2.4. Главный распорядитель в соответствии с установленной сферой управления (деятельности) осуществляет контроль и несет ответственность  за эффективное и целевое использование выделенных в его распоряжение бюджетных средств.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2.3. Санкционирование оплаты денежных обязательств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2.3.1. Финансовое управление передает предельный объем финансирования главному распорядителю, распорядителю на лицевые счета, открытые в Отделе по Солнцевскому району УФК по Курской области посредством расходного расписания через ПК "СУФД" на основании заявки, поданной на бумажном носителе главным распорядителем  в финансовое управление.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2.3.2. Главные распорядители, распорядители при отражении доведенных  финансовым управлением предельных объемов финансирования на лицевом счете главного распорядителя, открытом в Отделе по Солнцевскому району УФК по Курской области, доводят предельные объемы финансирования до получателя бюджетных средств путем представления реестров расходных расписаний на финансирование в Отдел по Солнцевскому району УФК по Курской области через ПК "СУФД".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2.3.3.  Получатели бюджетных средств формируют заявки на осуществление кассового расхода, через программный комплекс СУФД, только в пределах остатка предельного объема финансирования по соответствующему коду бюджетной классификации Российской Федерации.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2.4. Подтверждение исполнения денежных обязательств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2.4.1.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2.4.2. Для подтверждения исполнения денежных обязательств Отдел по Солнцевскому району УФК по Курской области предоставляет получателю средств местного бюджета выписку из лицевого счета получателя средств местного бюджета с отметкой об исполнении.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3. Исполнение бюджета по источникам финансирования дефицита местного бюджета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 Исполнение бюджета по источникам финансирования дефицита местного бюджета осуществляется главными администраторами, администраторами источников финансирования дефицита местного бюджета в соответствии со сводной бюджетной росписью, за исключением операций по управлению остатками средств на едином счете местного бюджета.       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3.2. Оплата денежных обязательств по источникам финансирования дефицита местного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3.3. В случае если источник финансирования дефицита местного бюджета – остаток средств на едином счете бюджета на 1 января текущего года, расходы по источнику финансирования дефицита местного бюджета включаются в сводную бюджетную роспись муниципального образования «</w:t>
      </w:r>
      <w:r w:rsidR="009C549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Зуевский</w:t>
      </w:r>
      <w:r w:rsidRPr="004449F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Солнцевского  района Курской области.</w:t>
      </w:r>
    </w:p>
    <w:p w:rsidR="004449F4" w:rsidRPr="004449F4" w:rsidRDefault="004449F4" w:rsidP="004449F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D17C97" w:rsidRPr="00D17C97" w:rsidRDefault="00D17C97" w:rsidP="004449F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D17C97" w:rsidRPr="00D17C97" w:rsidSect="00904D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919" w:rsidRDefault="00615919" w:rsidP="00904DDC">
      <w:pPr>
        <w:spacing w:after="0" w:line="240" w:lineRule="auto"/>
      </w:pPr>
      <w:r>
        <w:separator/>
      </w:r>
    </w:p>
  </w:endnote>
  <w:endnote w:type="continuationSeparator" w:id="1">
    <w:p w:rsidR="00615919" w:rsidRDefault="00615919" w:rsidP="0090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C5" w:rsidRDefault="008E4DC5">
    <w:pPr>
      <w:pStyle w:val="a4"/>
    </w:pPr>
  </w:p>
  <w:p w:rsidR="008E4DC5" w:rsidRDefault="008E4D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919" w:rsidRDefault="00615919" w:rsidP="00904DDC">
      <w:pPr>
        <w:spacing w:after="0" w:line="240" w:lineRule="auto"/>
      </w:pPr>
      <w:r>
        <w:separator/>
      </w:r>
    </w:p>
  </w:footnote>
  <w:footnote w:type="continuationSeparator" w:id="1">
    <w:p w:rsidR="00615919" w:rsidRDefault="00615919" w:rsidP="0090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7FEE5F62"/>
    <w:lvl w:ilvl="0" w:tplc="AD680A18">
      <w:start w:val="1"/>
      <w:numFmt w:val="decimal"/>
      <w:lvlText w:val="%1."/>
      <w:lvlJc w:val="left"/>
      <w:pPr>
        <w:ind w:left="0" w:firstLine="0"/>
      </w:pPr>
    </w:lvl>
    <w:lvl w:ilvl="1" w:tplc="B8680C12">
      <w:numFmt w:val="decimal"/>
      <w:lvlText w:val=""/>
      <w:lvlJc w:val="left"/>
      <w:pPr>
        <w:ind w:left="0" w:firstLine="0"/>
      </w:pPr>
    </w:lvl>
    <w:lvl w:ilvl="2" w:tplc="7C2E692A">
      <w:numFmt w:val="decimal"/>
      <w:lvlText w:val=""/>
      <w:lvlJc w:val="left"/>
      <w:pPr>
        <w:ind w:left="0" w:firstLine="0"/>
      </w:pPr>
    </w:lvl>
    <w:lvl w:ilvl="3" w:tplc="CE366D9A">
      <w:numFmt w:val="decimal"/>
      <w:lvlText w:val=""/>
      <w:lvlJc w:val="left"/>
      <w:pPr>
        <w:ind w:left="0" w:firstLine="0"/>
      </w:pPr>
    </w:lvl>
    <w:lvl w:ilvl="4" w:tplc="27FE80A6">
      <w:numFmt w:val="decimal"/>
      <w:lvlText w:val=""/>
      <w:lvlJc w:val="left"/>
      <w:pPr>
        <w:ind w:left="0" w:firstLine="0"/>
      </w:pPr>
    </w:lvl>
    <w:lvl w:ilvl="5" w:tplc="FEC6A068">
      <w:numFmt w:val="decimal"/>
      <w:lvlText w:val=""/>
      <w:lvlJc w:val="left"/>
      <w:pPr>
        <w:ind w:left="0" w:firstLine="0"/>
      </w:pPr>
    </w:lvl>
    <w:lvl w:ilvl="6" w:tplc="3F006474">
      <w:numFmt w:val="decimal"/>
      <w:lvlText w:val=""/>
      <w:lvlJc w:val="left"/>
      <w:pPr>
        <w:ind w:left="0" w:firstLine="0"/>
      </w:pPr>
    </w:lvl>
    <w:lvl w:ilvl="7" w:tplc="16B6A4FE">
      <w:numFmt w:val="decimal"/>
      <w:lvlText w:val=""/>
      <w:lvlJc w:val="left"/>
      <w:pPr>
        <w:ind w:left="0" w:firstLine="0"/>
      </w:pPr>
    </w:lvl>
    <w:lvl w:ilvl="8" w:tplc="4502F4D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4E7"/>
    <w:rsid w:val="0001624C"/>
    <w:rsid w:val="000461E3"/>
    <w:rsid w:val="0006071C"/>
    <w:rsid w:val="000722C1"/>
    <w:rsid w:val="00090125"/>
    <w:rsid w:val="000B4457"/>
    <w:rsid w:val="000B7002"/>
    <w:rsid w:val="000D5E61"/>
    <w:rsid w:val="000D673D"/>
    <w:rsid w:val="000F0024"/>
    <w:rsid w:val="000F303D"/>
    <w:rsid w:val="000F3C6D"/>
    <w:rsid w:val="00107B6F"/>
    <w:rsid w:val="00121A63"/>
    <w:rsid w:val="001474E7"/>
    <w:rsid w:val="001B598C"/>
    <w:rsid w:val="001C6268"/>
    <w:rsid w:val="001E0496"/>
    <w:rsid w:val="001E0668"/>
    <w:rsid w:val="00206D7C"/>
    <w:rsid w:val="002124E7"/>
    <w:rsid w:val="002546B0"/>
    <w:rsid w:val="002820AC"/>
    <w:rsid w:val="00285C49"/>
    <w:rsid w:val="002A09AB"/>
    <w:rsid w:val="002B3270"/>
    <w:rsid w:val="002D2A57"/>
    <w:rsid w:val="002E0A58"/>
    <w:rsid w:val="002E4CD9"/>
    <w:rsid w:val="002F32DD"/>
    <w:rsid w:val="0036557D"/>
    <w:rsid w:val="003759B3"/>
    <w:rsid w:val="00386CD7"/>
    <w:rsid w:val="003A4623"/>
    <w:rsid w:val="003D4F63"/>
    <w:rsid w:val="003F1538"/>
    <w:rsid w:val="004449F4"/>
    <w:rsid w:val="004544B9"/>
    <w:rsid w:val="0047645D"/>
    <w:rsid w:val="004B7539"/>
    <w:rsid w:val="004C1B6A"/>
    <w:rsid w:val="004C2C82"/>
    <w:rsid w:val="004E3983"/>
    <w:rsid w:val="004E6756"/>
    <w:rsid w:val="00500936"/>
    <w:rsid w:val="00540B0B"/>
    <w:rsid w:val="0055105E"/>
    <w:rsid w:val="005740EA"/>
    <w:rsid w:val="00593623"/>
    <w:rsid w:val="00597E67"/>
    <w:rsid w:val="005B2561"/>
    <w:rsid w:val="005B7FA2"/>
    <w:rsid w:val="005C3FA5"/>
    <w:rsid w:val="00611776"/>
    <w:rsid w:val="00615919"/>
    <w:rsid w:val="00623EBD"/>
    <w:rsid w:val="00626A7C"/>
    <w:rsid w:val="00634965"/>
    <w:rsid w:val="006834D3"/>
    <w:rsid w:val="00684F34"/>
    <w:rsid w:val="00696718"/>
    <w:rsid w:val="006A74D1"/>
    <w:rsid w:val="006D2F75"/>
    <w:rsid w:val="00720D9F"/>
    <w:rsid w:val="007342DF"/>
    <w:rsid w:val="0074655F"/>
    <w:rsid w:val="007517FA"/>
    <w:rsid w:val="007778D5"/>
    <w:rsid w:val="007803D2"/>
    <w:rsid w:val="00787059"/>
    <w:rsid w:val="007C10F7"/>
    <w:rsid w:val="0081139A"/>
    <w:rsid w:val="0085096B"/>
    <w:rsid w:val="00872DCE"/>
    <w:rsid w:val="008A70A7"/>
    <w:rsid w:val="008C68C5"/>
    <w:rsid w:val="008D77E1"/>
    <w:rsid w:val="008E4DC5"/>
    <w:rsid w:val="008F74BB"/>
    <w:rsid w:val="00904DDC"/>
    <w:rsid w:val="00905587"/>
    <w:rsid w:val="00950B89"/>
    <w:rsid w:val="009856DF"/>
    <w:rsid w:val="009915B3"/>
    <w:rsid w:val="00991743"/>
    <w:rsid w:val="00995933"/>
    <w:rsid w:val="009B38AC"/>
    <w:rsid w:val="009C549D"/>
    <w:rsid w:val="009D1835"/>
    <w:rsid w:val="00A351C5"/>
    <w:rsid w:val="00A61D1B"/>
    <w:rsid w:val="00A72F16"/>
    <w:rsid w:val="00A758D3"/>
    <w:rsid w:val="00A7713D"/>
    <w:rsid w:val="00AA2C01"/>
    <w:rsid w:val="00AB19DC"/>
    <w:rsid w:val="00AE5847"/>
    <w:rsid w:val="00AF27BD"/>
    <w:rsid w:val="00AF303A"/>
    <w:rsid w:val="00B01606"/>
    <w:rsid w:val="00B21ED2"/>
    <w:rsid w:val="00B60B5C"/>
    <w:rsid w:val="00B84855"/>
    <w:rsid w:val="00B9633F"/>
    <w:rsid w:val="00BA7A96"/>
    <w:rsid w:val="00BB1096"/>
    <w:rsid w:val="00BE7D5F"/>
    <w:rsid w:val="00C039C5"/>
    <w:rsid w:val="00C117D0"/>
    <w:rsid w:val="00C34C10"/>
    <w:rsid w:val="00C500CB"/>
    <w:rsid w:val="00C76589"/>
    <w:rsid w:val="00C85085"/>
    <w:rsid w:val="00CB0188"/>
    <w:rsid w:val="00CD2101"/>
    <w:rsid w:val="00CE5295"/>
    <w:rsid w:val="00D17C97"/>
    <w:rsid w:val="00D20C3A"/>
    <w:rsid w:val="00D34D84"/>
    <w:rsid w:val="00D35C42"/>
    <w:rsid w:val="00D4017C"/>
    <w:rsid w:val="00D42728"/>
    <w:rsid w:val="00D5419D"/>
    <w:rsid w:val="00D61C0B"/>
    <w:rsid w:val="00D70D76"/>
    <w:rsid w:val="00D77AE0"/>
    <w:rsid w:val="00DA5459"/>
    <w:rsid w:val="00DA6710"/>
    <w:rsid w:val="00DC02A6"/>
    <w:rsid w:val="00DC15F9"/>
    <w:rsid w:val="00DE4EFD"/>
    <w:rsid w:val="00DE7956"/>
    <w:rsid w:val="00E0423C"/>
    <w:rsid w:val="00E22FCC"/>
    <w:rsid w:val="00E372F4"/>
    <w:rsid w:val="00E41187"/>
    <w:rsid w:val="00ED0468"/>
    <w:rsid w:val="00F03FA9"/>
    <w:rsid w:val="00F6085C"/>
    <w:rsid w:val="00FA6273"/>
    <w:rsid w:val="00FB012A"/>
    <w:rsid w:val="00FD6B3B"/>
    <w:rsid w:val="00FD6EA2"/>
    <w:rsid w:val="00FE452C"/>
    <w:rsid w:val="00FF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C1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655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6557D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26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7C10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rsid w:val="007C10F7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C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0F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B7539"/>
    <w:rPr>
      <w:color w:val="0000FF"/>
      <w:u w:val="single"/>
    </w:rPr>
  </w:style>
  <w:style w:type="character" w:styleId="ab">
    <w:name w:val="Strong"/>
    <w:basedOn w:val="a0"/>
    <w:uiPriority w:val="22"/>
    <w:qFormat/>
    <w:rsid w:val="004449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C1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655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655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199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6037">
              <w:marLeft w:val="3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3" w:color="94A1B0"/>
                    <w:bottom w:val="none" w:sz="0" w:space="0" w:color="auto"/>
                    <w:right w:val="single" w:sz="4" w:space="13" w:color="94A1B0"/>
                  </w:divBdr>
                  <w:divsChild>
                    <w:div w:id="3830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6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40">
              <w:marLeft w:val="3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3" w:color="94A1B0"/>
                    <w:bottom w:val="none" w:sz="0" w:space="0" w:color="auto"/>
                    <w:right w:val="single" w:sz="4" w:space="13" w:color="94A1B0"/>
                  </w:divBdr>
                  <w:divsChild>
                    <w:div w:id="7273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077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09453">
              <w:marLeft w:val="3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3" w:color="94A1B0"/>
                    <w:bottom w:val="none" w:sz="0" w:space="0" w:color="auto"/>
                    <w:right w:val="single" w:sz="4" w:space="13" w:color="94A1B0"/>
                  </w:divBdr>
                  <w:divsChild>
                    <w:div w:id="11854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6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178">
              <w:marLeft w:val="3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3" w:color="94A1B0"/>
                    <w:bottom w:val="none" w:sz="0" w:space="0" w:color="auto"/>
                    <w:right w:val="single" w:sz="4" w:space="13" w:color="94A1B0"/>
                  </w:divBdr>
                  <w:divsChild>
                    <w:div w:id="15991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70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5946">
              <w:marLeft w:val="3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3" w:color="94A1B0"/>
                    <w:bottom w:val="none" w:sz="0" w:space="0" w:color="auto"/>
                    <w:right w:val="single" w:sz="4" w:space="13" w:color="94A1B0"/>
                  </w:divBdr>
                  <w:divsChild>
                    <w:div w:id="13448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52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566">
              <w:marLeft w:val="3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3" w:color="94A1B0"/>
                    <w:bottom w:val="none" w:sz="0" w:space="0" w:color="auto"/>
                    <w:right w:val="single" w:sz="4" w:space="13" w:color="94A1B0"/>
                  </w:divBdr>
                  <w:divsChild>
                    <w:div w:id="13028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041C-AA6F-4155-902B-D715F24C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Zuevka</cp:lastModifiedBy>
  <cp:revision>4</cp:revision>
  <cp:lastPrinted>2020-09-11T08:17:00Z</cp:lastPrinted>
  <dcterms:created xsi:type="dcterms:W3CDTF">2020-10-27T14:14:00Z</dcterms:created>
  <dcterms:modified xsi:type="dcterms:W3CDTF">2020-10-27T15:14:00Z</dcterms:modified>
</cp:coreProperties>
</file>