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43/6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с.  Дежевка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28/6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с.Дежевка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ТОС с.Дежевка )согласно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 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43/6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С.ДЕЖЕВКА </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Дежевка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с.Дежевка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ТОС с.Дежевка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с.Дежевка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с.Дежевка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с.Дежевка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с.Дежевка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село Дежевка  – ул.  Молодежная  д.1 по д.54, ул.Садовая  д.1 по д.26, ул. 1-я Луговая  д.1 по  д.29, ул. 2-я Луговая д.1 по д.12, ул.Мира д.1 по д.9, ул.Центральная  д.1 по 28, пер.Школьный  д.1 по 5, пер.Колхозный д.1 по 4</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