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536" w:leader="none"/>
        </w:tabs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Собрания депутатов 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tblInd w:w="108" w:type="dxa"/>
      </w:tblPr>
      <w:tblGrid>
        <w:gridCol w:w="540"/>
        <w:gridCol w:w="2464"/>
        <w:gridCol w:w="416"/>
        <w:gridCol w:w="1530"/>
      </w:tblGrid>
      <w:tr>
        <w:trPr>
          <w:trHeight w:val="23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8"/>
                <w:position w:val="0"/>
                <w:sz w:val="22"/>
                <w:shd w:fill="FFFFFF" w:val="clear"/>
              </w:rPr>
              <w:t xml:space="preserve">от</w:t>
            </w:r>
          </w:p>
        </w:tc>
        <w:tc>
          <w:tcPr>
            <w:tcW w:w="24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2020</w:t>
            </w:r>
          </w:p>
        </w:tc>
        <w:tc>
          <w:tcPr>
            <w:tcW w:w="4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8"/>
                <w:position w:val="0"/>
                <w:sz w:val="22"/>
                <w:shd w:fill="FFFFFF" w:val="clear"/>
              </w:rPr>
              <w:t xml:space="preserve">№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41/6</w:t>
            </w:r>
          </w:p>
        </w:tc>
      </w:tr>
      <w:tr>
        <w:trPr>
          <w:trHeight w:val="23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 утверждении   Положения о порядке предоставления муниципальных гарантий за счет средств местного бюджета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Солнцевского 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 ст. 115, 117 Бюджетного кодекса Российской Федерации, пункта 2 статьи 19 Федерального закона от 25 февраля 1999 года № 39-ФЗ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инвестиционной деятельности в Российской Федерации, осуществляемой в форме капитальных вложений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Устава МО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района Курской области, Собрание депутатов Зуевского    сельсовета Солнцевского    района решило: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Положение  о порядке предоставления муниципальных гарантий за счет средств местного бюджета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района Курской области согласно Приложению.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Обнародовать настоящее Решение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установленном порядке и разместить на официальном сайте Администрации Зуевского    сельсовета Солнцевского    района в информационно-телекоммуникационной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даты его официального опубликования.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Зуевского    сельсовета</w:t>
        <w:tab/>
        <w:tab/>
        <w:tab/>
        <w:tab/>
        <w:t xml:space="preserve">                                       А.Д.Гридасов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Глава Зуевского    сельсовета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Солнцевского    района</w:t>
        <w:tab/>
        <w:tab/>
        <w:t xml:space="preserve">                                                                       А.И.Панин</w:t>
        <w:tab/>
        <w:tab/>
        <w:t xml:space="preserve">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Утверждено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 сельсовета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района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№ 41/6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15.05.2020       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Положение о порядке предоставления муниципальных гарантий за счет средств местного бюджета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  района Курской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Положение о порядке предоставления муниципальных гарантий за счет средств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района Курской области (далее - Положение) разработано в соответствии с Гражданским Кодексом Российской Федерации, Бюджетным Кодексом Российской Федерации,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района Курской области.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Термины и понятия, используемые в настоящем Положении: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претендент - юридическое лицо, подающее заявку на получение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бенефициар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принципал - юридическое лицо, получившее кредит, обеспеченный гарантией;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 - муниципальное образование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района Курской области (далее - муниципальное образование), от имени которого выступает администрация Зуевского    сельсовета Солнцевского     района Курской области;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 гарантии - обеспечение обязательств заемщика перед администрацией Зуевского    сельсовета Солнцевского    района Курской области (далее – Администрация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залогодатель - лицо, которому принадлежит заложенное имущество.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условия и порядок предоставления гарантий, а также порядок исполнения обязательств по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Основными целями предоставления гарантий являются стимулирование инвестиционной активности и привлечение дополнительных средств для решения задач социально-экономического развития муниципального образования, структурной перестройки экономики, и развития его производственного потенциала.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 гарантии предоставляются  администрацией Зуевского    сельсовета в пределах общей суммы предоставляемых гарантий, указанной в решении Собрания депутатов Зуевского    сельсовета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Зуевского   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Обязательства, вытекающие из муниципальной гарантии, включаются в состав муниципального долга.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и исполнение муниципальной гарантии подлежит отражению в муниципальной долговой книге.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муниципального образования,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Письменная форма муниципальной гарантии является обязательной.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гарантия предоставляется и исполняется в валюте, в которой выражена сумма основного обязательства.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1.10.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муниципальной гарантии указываются: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гаранта и наименование органа, выдавшего гарантию от имени гаранта;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бенефициара;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принципала;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 обязательств гаранта по гарантии и предельная сумма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 выдачи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вступления в силу гарантии или событие (условие), с наступлением которого гарантия вступает в силу;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действия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определение гарантийного случая, срок и порядок предъявления требования бенефициара об исполнении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 отзыва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 исполнения гарантом обязательств по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 прекращения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условия основного обязательства, которые не могут быть изменены без предварительного письменного согласия гаранта;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условия гарантии, а также сведения, определенные Бюджетным Кодексом, нормативными правовыми актами гаранта, актами органа, выдающего гарантию от имени гаранта.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соответствующему публично-правовому образованию, предоставляющему муниципальную гарантию, муниципального унитарного предприятия, имущество которого находится в собственности соответствующего публично-правового образования, предоставляющего муниципальную гарантию.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актами администрации муниципального образования, соответствующее требованиям статьи 115.3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 не вправе без предварительного письменного согласия бенефициара изменять условия муниципальной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гарантия отзывается гарантом в случаях и по основаниям, которые указаны в гарантии, а также при неисполнении принципалом обязанности, установленной  статьей 115.3 Бюджетного Кодекса.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 обязан в срок, определенный в 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 и (или) приложенные к нему документы предъявлены гаранту с нарушением установленного гарантией порядка;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 и (или) приложенные к нему документы не соответствуют условиям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случаях, установленных  статьей 115.3 Бюджетного Кодекса;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иных случаях, установленных гарантией.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признания необоснованными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Обязательство гаранта перед бенефициаром по  муниципальной гарантии прекращается: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уплатой гарантом бенефициару денежных средств в объеме, определенном в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истечением определенного в гарантии срока, на который она выдана (срока действия гарантии);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Бюджетного Кодекса гарантии при условии фактического отсутствия бенефициаров по такой гарантии и оснований для их возникновения в будущем;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обязательство принципала, в обеспечение которого предоставлена гарантия, не возникло в установленный срок;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вследствие отзыва гарантии в случаях и по основаниям, которые указаны в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иных случаях, установленных гарантией.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Гарант, которому стало известно о прекращении  муниципальной гарантии, обязан уведомить об этом бенефициара и принципала.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соответствующего бюджета.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Кредиты и займы, обеспечиваемые  муниципальными гарантиями, должны быть целевыми.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 муниципальной гарантии.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 статьей 115.1 Бюджетного Кодекса.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Порядок и условия предоставления муниципальных гарантий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муниципальных гарантий осуществляется при соблюдении следующих условий (если иное не предусмотрено Бюджетным Кодексом):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финансовое состояние принципала является удовлетворительным;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 муниципальным образованием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района,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Зуевского    сельсовета Солнцевского    района полного комплекта документов согласно перечню, устанавливаемому Правительством Российской Федерации, местной администрацией.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Анализ финансового состояния принципала, проверка достаточности, надежности и ликвидности обеспечения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 муниципальной гарантии осуществляются в соответствии с актами Администрации Зуевского    сельсовета Солнцевского    района.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Зуевского    сельсовета Солнцевского    района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 муниципальных гарантий. Общий объем бюджетных ассигнований, которые должны быть предусмотрены на исполнение  муниципальных гарантий по возможным гарантийным случаям, указывается в текстовых статьях решения Собрания депутатов Зуевского    сельсовета Солнцевского    района о бюджете на очередной финансовый год (очередной финансовый год и плановый период).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Зуевского    сельсовета Солнцевского    района  в соответствии с муниципальным правовым актом решения Собрания депутатов Зуевского    сельсовета Солнцевского    района о местном бюджете.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 исполнения обязательств принципала по удовлетворению регрессного требования гаранта к принципалу по муниципальной гарантии осуществляется в соответствии со ст. 115.3 Бюджетного кодекса.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